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highlight w:val="none"/>
        </w:rPr>
      </w:pPr>
      <w:r>
        <w:rPr>
          <w:rFonts w:hint="eastAsia" w:ascii="宋体" w:hAnsi="宋体" w:cs="宋体"/>
          <w:b/>
          <w:kern w:val="0"/>
          <w:sz w:val="32"/>
          <w:szCs w:val="32"/>
          <w:highlight w:val="none"/>
        </w:rPr>
        <w:t>询价单（XJ2020-</w:t>
      </w:r>
      <w:r>
        <w:rPr>
          <w:rFonts w:hint="eastAsia" w:ascii="宋体" w:hAnsi="宋体" w:cs="宋体"/>
          <w:b/>
          <w:kern w:val="0"/>
          <w:sz w:val="32"/>
          <w:szCs w:val="32"/>
          <w:highlight w:val="none"/>
          <w:lang w:val="en-US" w:eastAsia="zh-CN"/>
        </w:rPr>
        <w:t>221</w:t>
      </w:r>
      <w:r>
        <w:rPr>
          <w:rFonts w:hint="eastAsia" w:ascii="宋体" w:hAnsi="宋体" w:cs="宋体"/>
          <w:b/>
          <w:kern w:val="0"/>
          <w:sz w:val="32"/>
          <w:szCs w:val="32"/>
          <w:highlight w:val="none"/>
        </w:rPr>
        <w:t>）</w:t>
      </w:r>
    </w:p>
    <w:p>
      <w:pPr>
        <w:ind w:left="57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一、采购内容：(</w:t>
      </w:r>
      <w:r>
        <w:rPr>
          <w:rFonts w:hint="eastAsia" w:asciiTheme="minorEastAsia" w:hAnsiTheme="minorEastAsia" w:eastAsiaTheme="minorEastAsia"/>
          <w:sz w:val="28"/>
          <w:szCs w:val="28"/>
          <w:highlight w:val="none"/>
          <w:lang w:val="en-US" w:eastAsia="zh-CN"/>
        </w:rPr>
        <w:t>238</w:t>
      </w:r>
      <w:r>
        <w:rPr>
          <w:rFonts w:hint="eastAsia" w:asciiTheme="minorEastAsia" w:hAnsiTheme="minorEastAsia" w:eastAsiaTheme="minorEastAsia"/>
          <w:sz w:val="28"/>
          <w:szCs w:val="28"/>
          <w:highlight w:val="none"/>
          <w:lang w:val="zh-TW"/>
        </w:rPr>
        <w:t>)</w:t>
      </w:r>
    </w:p>
    <w:tbl>
      <w:tblPr>
        <w:tblStyle w:val="10"/>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503"/>
        <w:gridCol w:w="130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序号</w:t>
            </w:r>
          </w:p>
        </w:tc>
        <w:tc>
          <w:tcPr>
            <w:tcW w:w="1145"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名称</w:t>
            </w:r>
          </w:p>
        </w:tc>
        <w:tc>
          <w:tcPr>
            <w:tcW w:w="4503"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技术参数</w:t>
            </w:r>
          </w:p>
        </w:tc>
        <w:tc>
          <w:tcPr>
            <w:tcW w:w="1308" w:type="dxa"/>
            <w:vAlign w:val="center"/>
          </w:tcPr>
          <w:p>
            <w:pPr>
              <w:widowControl/>
              <w:jc w:val="center"/>
              <w:rPr>
                <w:rFonts w:hint="eastAsia" w:ascii="Times New Roman" w:hAnsi="Times New Roman" w:eastAsia="宋体" w:cs="Times New Roman"/>
                <w:kern w:val="2"/>
                <w:sz w:val="21"/>
                <w:szCs w:val="24"/>
                <w:highlight w:val="none"/>
                <w:lang w:val="en-US" w:eastAsia="zh-CN" w:bidi="ar-SA"/>
              </w:rPr>
            </w:pPr>
            <w:r>
              <w:rPr>
                <w:rFonts w:hint="eastAsia"/>
                <w:highlight w:val="none"/>
              </w:rPr>
              <w:t>保险</w:t>
            </w:r>
            <w:r>
              <w:rPr>
                <w:rFonts w:hint="eastAsia"/>
                <w:highlight w:val="none"/>
                <w:lang w:eastAsia="zh-CN"/>
              </w:rPr>
              <w:t>责任</w:t>
            </w:r>
          </w:p>
        </w:tc>
        <w:tc>
          <w:tcPr>
            <w:tcW w:w="850"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数量</w:t>
            </w:r>
          </w:p>
        </w:tc>
        <w:tc>
          <w:tcPr>
            <w:tcW w:w="127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523" w:type="dxa"/>
            <w:vMerge w:val="restart"/>
            <w:vAlign w:val="center"/>
          </w:tcPr>
          <w:p>
            <w:pPr>
              <w:jc w:val="center"/>
              <w:rPr>
                <w:rFonts w:hint="eastAsia"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1</w:t>
            </w:r>
          </w:p>
        </w:tc>
        <w:tc>
          <w:tcPr>
            <w:tcW w:w="1145" w:type="dxa"/>
            <w:vMerge w:val="restart"/>
            <w:vAlign w:val="center"/>
          </w:tcPr>
          <w:p>
            <w:pPr>
              <w:jc w:val="center"/>
              <w:rPr>
                <w:rFonts w:hint="eastAsia" w:asciiTheme="majorEastAsia" w:hAnsiTheme="majorEastAsia" w:eastAsiaTheme="majorEastAsia"/>
                <w:sz w:val="24"/>
                <w:highlight w:val="none"/>
                <w:lang w:val="en-US" w:eastAsia="zh-CN"/>
              </w:rPr>
            </w:pPr>
            <w:r>
              <w:rPr>
                <w:rFonts w:hint="eastAsia"/>
                <w:highlight w:val="none"/>
                <w:lang w:val="en-US" w:eastAsia="zh-CN"/>
              </w:rPr>
              <w:t>校方责任</w:t>
            </w:r>
            <w:r>
              <w:rPr>
                <w:rFonts w:hint="eastAsia"/>
                <w:highlight w:val="none"/>
                <w:lang w:val="zh-TW" w:eastAsia="zh-TW"/>
              </w:rPr>
              <w:t>保险</w:t>
            </w:r>
          </w:p>
        </w:tc>
        <w:tc>
          <w:tcPr>
            <w:tcW w:w="4503" w:type="dxa"/>
            <w:vAlign w:val="center"/>
          </w:tcPr>
          <w:p>
            <w:pPr>
              <w:widowControl/>
              <w:jc w:val="left"/>
              <w:rPr>
                <w:rFonts w:hint="default" w:ascii="Times New Roman" w:hAnsi="Times New Roman" w:eastAsia="宋体" w:cs="Times New Roman"/>
                <w:kern w:val="2"/>
                <w:sz w:val="21"/>
                <w:szCs w:val="24"/>
                <w:highlight w:val="none"/>
                <w:lang w:val="en-US" w:eastAsia="zh-CN" w:bidi="ar-SA"/>
              </w:rPr>
            </w:pPr>
            <w:r>
              <w:rPr>
                <w:rStyle w:val="37"/>
                <w:rFonts w:eastAsia="宋体"/>
                <w:kern w:val="2"/>
                <w:sz w:val="21"/>
                <w:szCs w:val="24"/>
                <w:lang w:val="en-US" w:eastAsia="zh-CN" w:bidi="ar-SA"/>
              </w:rPr>
              <w:t>校方责任险有责赔偿限额每人40万元。</w:t>
            </w:r>
          </w:p>
        </w:tc>
        <w:tc>
          <w:tcPr>
            <w:tcW w:w="1308" w:type="dxa"/>
            <w:vMerge w:val="restart"/>
            <w:vAlign w:val="center"/>
          </w:tcPr>
          <w:p>
            <w:pPr>
              <w:widowControl/>
              <w:jc w:val="center"/>
              <w:rPr>
                <w:rFonts w:hint="eastAsia" w:ascii="Times New Roman" w:hAnsi="Times New Roman" w:eastAsia="宋体" w:cs="Times New Roman"/>
                <w:kern w:val="2"/>
                <w:sz w:val="21"/>
                <w:szCs w:val="24"/>
                <w:highlight w:val="none"/>
                <w:lang w:val="en-US" w:eastAsia="zh-CN" w:bidi="ar-SA"/>
              </w:rPr>
            </w:pPr>
            <w:r>
              <w:rPr>
                <w:rStyle w:val="37"/>
                <w:kern w:val="2"/>
                <w:sz w:val="21"/>
                <w:szCs w:val="24"/>
                <w:lang w:val="en-US" w:eastAsia="zh-CN" w:bidi="ar-SA"/>
              </w:rPr>
              <w:t>意外身故、伤残附加意外伤害医疗、附加住院医疗</w:t>
            </w:r>
          </w:p>
        </w:tc>
        <w:tc>
          <w:tcPr>
            <w:tcW w:w="850" w:type="dxa"/>
            <w:vMerge w:val="restart"/>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283人</w:t>
            </w:r>
          </w:p>
        </w:tc>
        <w:tc>
          <w:tcPr>
            <w:tcW w:w="1276" w:type="dxa"/>
            <w:vMerge w:val="restart"/>
            <w:vAlign w:val="center"/>
          </w:tcPr>
          <w:p>
            <w:pPr>
              <w:jc w:val="center"/>
              <w:rPr>
                <w:rFonts w:asciiTheme="majorEastAsia" w:hAnsiTheme="majorEastAsia" w:eastAsiaTheme="majorEastAsia"/>
                <w:sz w:val="24"/>
                <w:highlight w:val="none"/>
              </w:rPr>
            </w:pPr>
            <w:r>
              <w:rPr>
                <w:rFonts w:hint="eastAsia"/>
                <w:highlight w:val="none"/>
                <w:lang w:val="en-US" w:eastAsia="zh-CN"/>
              </w:rPr>
              <w:t>2830</w:t>
            </w:r>
            <w:r>
              <w:rPr>
                <w:rFonts w:hint="eastAsia" w:asciiTheme="majorEastAsia" w:hAnsiTheme="majorEastAsia" w:eastAsiaTheme="majorEastAsia"/>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523" w:type="dxa"/>
            <w:vMerge w:val="continue"/>
            <w:vAlign w:val="center"/>
          </w:tcPr>
          <w:p>
            <w:pPr>
              <w:jc w:val="center"/>
              <w:rPr>
                <w:rFonts w:hint="eastAsia" w:asciiTheme="majorEastAsia" w:hAnsiTheme="majorEastAsia" w:eastAsiaTheme="majorEastAsia"/>
                <w:sz w:val="24"/>
                <w:highlight w:val="none"/>
                <w:lang w:val="en-US" w:eastAsia="zh-CN"/>
              </w:rPr>
            </w:pPr>
          </w:p>
        </w:tc>
        <w:tc>
          <w:tcPr>
            <w:tcW w:w="1145" w:type="dxa"/>
            <w:vMerge w:val="continue"/>
            <w:vAlign w:val="center"/>
          </w:tcPr>
          <w:p>
            <w:pPr>
              <w:jc w:val="center"/>
              <w:rPr>
                <w:rFonts w:hint="eastAsia" w:asciiTheme="majorEastAsia" w:hAnsiTheme="majorEastAsia" w:eastAsiaTheme="majorEastAsia"/>
                <w:sz w:val="24"/>
                <w:highlight w:val="none"/>
              </w:rPr>
            </w:pPr>
          </w:p>
        </w:tc>
        <w:tc>
          <w:tcPr>
            <w:tcW w:w="4503" w:type="dxa"/>
            <w:vAlign w:val="center"/>
          </w:tcPr>
          <w:p>
            <w:pPr>
              <w:widowControl/>
              <w:jc w:val="left"/>
              <w:rPr>
                <w:rFonts w:hint="default" w:ascii="Times New Roman" w:hAnsi="Times New Roman" w:eastAsia="宋体" w:cs="Times New Roman"/>
                <w:kern w:val="2"/>
                <w:sz w:val="21"/>
                <w:szCs w:val="24"/>
                <w:highlight w:val="none"/>
                <w:lang w:val="en-US" w:eastAsia="zh-CN" w:bidi="ar-SA"/>
              </w:rPr>
            </w:pPr>
            <w:r>
              <w:rPr>
                <w:rStyle w:val="37"/>
                <w:kern w:val="2"/>
                <w:sz w:val="21"/>
                <w:szCs w:val="24"/>
                <w:lang w:val="en-US" w:eastAsia="zh-CN" w:bidi="ar-SA"/>
              </w:rPr>
              <w:t>无责赔上限额每人30万元。</w:t>
            </w:r>
          </w:p>
        </w:tc>
        <w:tc>
          <w:tcPr>
            <w:tcW w:w="1308" w:type="dxa"/>
            <w:vMerge w:val="continue"/>
            <w:vAlign w:val="center"/>
          </w:tcPr>
          <w:p>
            <w:pPr>
              <w:jc w:val="center"/>
              <w:rPr>
                <w:rFonts w:hint="eastAsia" w:asciiTheme="majorEastAsia" w:hAnsiTheme="majorEastAsia" w:eastAsiaTheme="majorEastAsia"/>
                <w:sz w:val="24"/>
                <w:highlight w:val="none"/>
                <w:lang w:val="en-US" w:eastAsia="zh-CN"/>
              </w:rPr>
            </w:pPr>
          </w:p>
        </w:tc>
        <w:tc>
          <w:tcPr>
            <w:tcW w:w="850" w:type="dxa"/>
            <w:vMerge w:val="continue"/>
            <w:vAlign w:val="center"/>
          </w:tcPr>
          <w:p>
            <w:pPr>
              <w:jc w:val="center"/>
              <w:rPr>
                <w:rFonts w:hint="default" w:asciiTheme="majorEastAsia" w:hAnsiTheme="majorEastAsia" w:eastAsiaTheme="majorEastAsia"/>
                <w:sz w:val="24"/>
                <w:highlight w:val="none"/>
                <w:lang w:val="en-US" w:eastAsia="zh-CN"/>
              </w:rPr>
            </w:pPr>
          </w:p>
        </w:tc>
        <w:tc>
          <w:tcPr>
            <w:tcW w:w="1276" w:type="dxa"/>
            <w:vMerge w:val="continue"/>
            <w:vAlign w:val="center"/>
          </w:tcPr>
          <w:p>
            <w:pPr>
              <w:jc w:val="center"/>
              <w:rPr>
                <w:rFonts w:hint="eastAsia" w:asciiTheme="majorEastAsia" w:hAnsiTheme="majorEastAsia" w:eastAsiaTheme="majorEastAsia"/>
                <w:sz w:val="24"/>
                <w:highlight w:val="none"/>
              </w:rPr>
            </w:pPr>
          </w:p>
        </w:tc>
      </w:tr>
    </w:tbl>
    <w:p>
      <w:pPr>
        <w:snapToGrid w:val="0"/>
        <w:spacing w:line="400" w:lineRule="exact"/>
        <w:rPr>
          <w:rFonts w:ascii="仿宋" w:hAnsi="仿宋" w:eastAsia="仿宋"/>
          <w:sz w:val="28"/>
          <w:szCs w:val="28"/>
          <w:highlight w:val="none"/>
          <w:lang w:val="zh-TW"/>
        </w:rPr>
      </w:pPr>
      <w:r>
        <w:rPr>
          <w:rFonts w:hint="eastAsia" w:ascii="仿宋" w:hAnsi="仿宋" w:eastAsia="仿宋"/>
          <w:sz w:val="28"/>
          <w:szCs w:val="28"/>
          <w:highlight w:val="none"/>
          <w:lang w:val="zh-TW"/>
        </w:rPr>
        <w:t xml:space="preserve">    二、商务需求</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（1）</w:t>
      </w:r>
      <w:r>
        <w:rPr>
          <w:rFonts w:hint="eastAsia" w:ascii="仿宋" w:hAnsi="仿宋" w:eastAsia="仿宋"/>
          <w:sz w:val="28"/>
          <w:szCs w:val="28"/>
          <w:highlight w:val="none"/>
          <w:lang w:val="zh-TW" w:eastAsia="zh-TW"/>
        </w:rPr>
        <w:t>验收标准：</w:t>
      </w:r>
      <w:r>
        <w:rPr>
          <w:rFonts w:hint="eastAsia" w:ascii="仿宋" w:hAnsi="仿宋" w:eastAsia="仿宋"/>
          <w:sz w:val="28"/>
          <w:szCs w:val="28"/>
          <w:highlight w:val="none"/>
        </w:rPr>
        <w:t>以技术参数为标准，组织人员验收。</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（2）保险期限：1年</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（3）</w:t>
      </w:r>
      <w:r>
        <w:rPr>
          <w:rFonts w:hint="eastAsia" w:ascii="仿宋" w:hAnsi="仿宋" w:eastAsia="仿宋"/>
          <w:sz w:val="28"/>
          <w:szCs w:val="28"/>
          <w:highlight w:val="none"/>
          <w:lang w:val="zh-TW" w:eastAsia="zh-TW"/>
        </w:rPr>
        <w:t>售后服务：</w:t>
      </w:r>
    </w:p>
    <w:p>
      <w:pPr>
        <w:snapToGrid w:val="0"/>
        <w:spacing w:line="440" w:lineRule="exact"/>
        <w:ind w:firstLine="560" w:firstLineChars="200"/>
        <w:rPr>
          <w:rFonts w:hint="eastAsia" w:ascii="仿宋" w:hAnsi="仿宋" w:eastAsia="仿宋"/>
          <w:sz w:val="28"/>
          <w:szCs w:val="28"/>
          <w:highlight w:val="none"/>
          <w:lang w:val="zh-TW" w:eastAsia="zh-TW"/>
        </w:rPr>
      </w:pPr>
      <w:r>
        <w:rPr>
          <w:rFonts w:hint="eastAsia" w:ascii="仿宋" w:hAnsi="仿宋" w:eastAsia="仿宋"/>
          <w:sz w:val="28"/>
          <w:szCs w:val="28"/>
          <w:highlight w:val="none"/>
          <w:lang w:val="zh-TW"/>
        </w:rPr>
        <w:t>（4）</w:t>
      </w:r>
      <w:r>
        <w:rPr>
          <w:rFonts w:hint="eastAsia" w:ascii="仿宋" w:hAnsi="仿宋" w:eastAsia="仿宋"/>
          <w:sz w:val="28"/>
          <w:szCs w:val="28"/>
          <w:highlight w:val="none"/>
          <w:lang w:val="zh-TW" w:eastAsia="zh-TW"/>
        </w:rPr>
        <w:t>付款方式：签订合同时乙方向甲方支付中标金额的5%作为履约保证金，供货完毕经验收合格后一次性支付中标金额100%的款项，5%的履约保证金转为质保金，质保期满后无息返还</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（5）</w:t>
      </w:r>
      <w:r>
        <w:rPr>
          <w:rFonts w:hint="eastAsia" w:ascii="仿宋" w:hAnsi="仿宋" w:eastAsia="仿宋"/>
          <w:sz w:val="28"/>
          <w:szCs w:val="28"/>
          <w:highlight w:val="none"/>
          <w:lang w:val="zh-TW" w:eastAsia="zh-TW"/>
        </w:rPr>
        <w:t>交货期：</w:t>
      </w:r>
      <w:r>
        <w:rPr>
          <w:rFonts w:hint="eastAsia" w:ascii="仿宋" w:hAnsi="仿宋" w:eastAsia="仿宋"/>
          <w:sz w:val="28"/>
          <w:szCs w:val="28"/>
          <w:highlight w:val="none"/>
        </w:rPr>
        <w:t>合同签订</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rPr>
        <w:t>日内</w:t>
      </w:r>
    </w:p>
    <w:p>
      <w:pPr>
        <w:snapToGrid w:val="0"/>
        <w:spacing w:line="44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zh-TW"/>
        </w:rPr>
        <w:t>（6）</w:t>
      </w:r>
      <w:r>
        <w:rPr>
          <w:rFonts w:hint="eastAsia" w:ascii="仿宋" w:hAnsi="仿宋" w:eastAsia="仿宋"/>
          <w:sz w:val="28"/>
          <w:szCs w:val="28"/>
          <w:highlight w:val="none"/>
          <w:lang w:val="zh-TW" w:eastAsia="zh-TW"/>
        </w:rPr>
        <w:t>交货地点：</w:t>
      </w:r>
      <w:r>
        <w:rPr>
          <w:rFonts w:hint="eastAsia" w:ascii="仿宋" w:hAnsi="仿宋" w:eastAsia="仿宋"/>
          <w:sz w:val="28"/>
          <w:szCs w:val="28"/>
          <w:highlight w:val="none"/>
        </w:rPr>
        <w:t>石河子大学</w:t>
      </w:r>
    </w:p>
    <w:p>
      <w:pPr>
        <w:snapToGrid w:val="0"/>
        <w:spacing w:line="440" w:lineRule="exact"/>
        <w:ind w:firstLine="560" w:firstLineChars="200"/>
        <w:rPr>
          <w:rFonts w:ascii="仿宋" w:hAnsi="仿宋" w:eastAsia="PMingLiU"/>
          <w:sz w:val="28"/>
          <w:szCs w:val="28"/>
          <w:highlight w:val="none"/>
          <w:lang w:val="zh-TW" w:eastAsia="zh-TW"/>
        </w:rPr>
      </w:pPr>
      <w:r>
        <w:rPr>
          <w:rFonts w:hint="eastAsia" w:ascii="仿宋" w:hAnsi="仿宋" w:eastAsia="仿宋"/>
          <w:sz w:val="28"/>
          <w:szCs w:val="28"/>
          <w:highlight w:val="none"/>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highlight w:val="none"/>
          <w:lang w:val="zh-TW" w:eastAsia="zh-TW"/>
        </w:rPr>
      </w:pPr>
    </w:p>
    <w:p>
      <w:pPr>
        <w:snapToGrid w:val="0"/>
        <w:spacing w:line="440" w:lineRule="exact"/>
        <w:ind w:firstLine="280" w:firstLineChars="1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三、技术说明</w:t>
      </w:r>
    </w:p>
    <w:p>
      <w:pPr>
        <w:snapToGrid w:val="0"/>
        <w:spacing w:line="480" w:lineRule="exact"/>
        <w:ind w:firstLine="422" w:firstLineChars="15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sz w:val="28"/>
          <w:szCs w:val="28"/>
          <w:highlight w:val="none"/>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2、本项目不接受联合体投标。</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五、询价文件组成：</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六、询价响应报价要求：</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1、由采购人（发包人）提供询价清单，竞标人（承包人）自主报价。</w:t>
      </w:r>
      <w:r>
        <w:rPr>
          <w:rFonts w:asciiTheme="minorEastAsia" w:hAnsiTheme="minorEastAsia" w:eastAsiaTheme="minorEastAsia"/>
          <w:b/>
          <w:sz w:val="28"/>
          <w:szCs w:val="28"/>
          <w:highlight w:val="none"/>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4、供应商于202</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年</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用户单位负责人：</w:t>
      </w:r>
      <w:r>
        <w:rPr>
          <w:rFonts w:hint="eastAsia" w:asciiTheme="minorEastAsia" w:hAnsiTheme="minorEastAsia" w:eastAsiaTheme="minorEastAsia"/>
          <w:sz w:val="28"/>
          <w:szCs w:val="28"/>
          <w:highlight w:val="none"/>
          <w:lang w:val="en-US" w:eastAsia="zh-CN"/>
        </w:rPr>
        <w:t>刘爽</w:t>
      </w:r>
      <w:r>
        <w:rPr>
          <w:rFonts w:hint="eastAsia" w:asciiTheme="minorEastAsia" w:hAnsiTheme="minorEastAsia" w:eastAsiaTheme="minorEastAsia"/>
          <w:sz w:val="28"/>
          <w:szCs w:val="28"/>
          <w:highlight w:val="none"/>
          <w:lang w:val="zh-TW"/>
        </w:rPr>
        <w:t xml:space="preserve">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联系电话：18699331280</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总价为2830</w:t>
      </w:r>
      <w:r>
        <w:rPr>
          <w:rFonts w:hint="eastAsia" w:asciiTheme="minorEastAsia" w:hAnsiTheme="minorEastAsia" w:eastAsiaTheme="minorEastAsia"/>
          <w:sz w:val="28"/>
          <w:szCs w:val="28"/>
          <w:highlight w:val="none"/>
          <w:lang w:val="zh-TW"/>
        </w:rPr>
        <w:t>元（人民币</w:t>
      </w:r>
      <w:r>
        <w:rPr>
          <w:rFonts w:hint="eastAsia" w:asciiTheme="minorEastAsia" w:hAnsiTheme="minorEastAsia" w:eastAsiaTheme="minorEastAsia"/>
          <w:sz w:val="28"/>
          <w:szCs w:val="28"/>
          <w:highlight w:val="none"/>
          <w:lang w:val="en-US" w:eastAsia="zh-CN"/>
        </w:rPr>
        <w:t>贰仟捌佰叁拾元</w:t>
      </w:r>
      <w:r>
        <w:rPr>
          <w:rFonts w:hint="eastAsia" w:asciiTheme="minorEastAsia" w:hAnsiTheme="minorEastAsia" w:eastAsiaTheme="minorEastAsia"/>
          <w:sz w:val="28"/>
          <w:szCs w:val="28"/>
          <w:highlight w:val="none"/>
          <w:lang w:val="zh-TW"/>
        </w:rPr>
        <w:t>整）。总报价如超预算，视同于无效报价。疫情期间校园封闭式管理，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bookmarkStart w:id="0" w:name="_GoBack"/>
      <w:bookmarkEnd w:id="0"/>
      <w:r>
        <w:rPr>
          <w:rFonts w:hint="eastAsia" w:asciiTheme="minorEastAsia" w:hAnsiTheme="minorEastAsia" w:eastAsiaTheme="minorEastAsia"/>
          <w:sz w:val="28"/>
          <w:szCs w:val="28"/>
          <w:highlight w:val="none"/>
          <w:lang w:val="zh-TW"/>
        </w:rPr>
        <w:t>202</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年</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5</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04604A57"/>
    <w:rsid w:val="0FFD29A1"/>
    <w:rsid w:val="14BB7BAC"/>
    <w:rsid w:val="18827326"/>
    <w:rsid w:val="1D784C69"/>
    <w:rsid w:val="26452102"/>
    <w:rsid w:val="39DC30F2"/>
    <w:rsid w:val="3F6A7BD2"/>
    <w:rsid w:val="462D36FA"/>
    <w:rsid w:val="52E96A34"/>
    <w:rsid w:val="5586538E"/>
    <w:rsid w:val="5C3002D9"/>
    <w:rsid w:val="5C3F6258"/>
    <w:rsid w:val="5C65662B"/>
    <w:rsid w:val="67FB4668"/>
    <w:rsid w:val="6CE25BCE"/>
    <w:rsid w:val="6ED05C54"/>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 w:type="character" w:customStyle="1" w:styleId="37">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1</TotalTime>
  <ScaleCrop>false</ScaleCrop>
  <LinksUpToDate>false</LinksUpToDate>
  <CharactersWithSpaces>1183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2021-01-05T05:26:09Z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