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rPr>
      </w:pPr>
      <w:r>
        <w:rPr>
          <w:rFonts w:hint="eastAsia" w:ascii="宋体" w:hAnsi="宋体" w:cs="宋体"/>
          <w:b/>
          <w:kern w:val="0"/>
          <w:sz w:val="32"/>
          <w:szCs w:val="32"/>
        </w:rPr>
        <w:t>询价单（XJ2020-</w:t>
      </w:r>
      <w:r>
        <w:rPr>
          <w:rFonts w:hint="eastAsia" w:ascii="宋体" w:hAnsi="宋体" w:cs="宋体"/>
          <w:b/>
          <w:kern w:val="0"/>
          <w:sz w:val="32"/>
          <w:szCs w:val="32"/>
          <w:lang w:val="en-US" w:eastAsia="zh-CN"/>
        </w:rPr>
        <w:t>133</w:t>
      </w:r>
      <w:r>
        <w:rPr>
          <w:rFonts w:hint="eastAsia" w:ascii="宋体" w:hAnsi="宋体" w:cs="宋体"/>
          <w:b/>
          <w:kern w:val="0"/>
          <w:sz w:val="32"/>
          <w:szCs w:val="32"/>
        </w:rPr>
        <w:t>）</w:t>
      </w:r>
    </w:p>
    <w:p>
      <w:pPr>
        <w:ind w:left="57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一、采购内容：(</w:t>
      </w:r>
      <w:r>
        <w:rPr>
          <w:rFonts w:hint="eastAsia" w:asciiTheme="minorEastAsia" w:hAnsiTheme="minorEastAsia" w:eastAsiaTheme="minorEastAsia"/>
          <w:sz w:val="28"/>
          <w:szCs w:val="28"/>
          <w:lang w:val="en-US" w:eastAsia="zh-CN"/>
        </w:rPr>
        <w:t>147</w:t>
      </w:r>
      <w:r>
        <w:rPr>
          <w:rFonts w:hint="eastAsia" w:asciiTheme="minorEastAsia" w:hAnsiTheme="minorEastAsia" w:eastAsiaTheme="minorEastAsia"/>
          <w:sz w:val="28"/>
          <w:szCs w:val="28"/>
          <w:lang w:val="zh-TW"/>
        </w:rPr>
        <w:t>)</w:t>
      </w:r>
    </w:p>
    <w:tbl>
      <w:tblPr>
        <w:tblStyle w:val="1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145"/>
        <w:gridCol w:w="4961"/>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23"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序号</w:t>
            </w:r>
          </w:p>
        </w:tc>
        <w:tc>
          <w:tcPr>
            <w:tcW w:w="1145"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名称</w:t>
            </w:r>
          </w:p>
        </w:tc>
        <w:tc>
          <w:tcPr>
            <w:tcW w:w="4961" w:type="dxa"/>
            <w:vAlign w:val="center"/>
          </w:tcPr>
          <w:p>
            <w:pPr>
              <w:jc w:val="cente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技术参数</w:t>
            </w:r>
          </w:p>
        </w:tc>
        <w:tc>
          <w:tcPr>
            <w:tcW w:w="850"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数量</w:t>
            </w:r>
          </w:p>
        </w:tc>
        <w:tc>
          <w:tcPr>
            <w:tcW w:w="1276"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1</w:t>
            </w:r>
          </w:p>
        </w:tc>
        <w:tc>
          <w:tcPr>
            <w:tcW w:w="1145" w:type="dxa"/>
            <w:vAlign w:val="center"/>
          </w:tcPr>
          <w:p>
            <w:pPr>
              <w:jc w:val="center"/>
              <w:rPr>
                <w:rFonts w:hint="eastAsia" w:asciiTheme="majorEastAsia" w:hAnsiTheme="majorEastAsia" w:eastAsiaTheme="majorEastAsia"/>
                <w:sz w:val="24"/>
                <w:highlight w:val="none"/>
                <w:lang w:val="en-US" w:eastAsia="zh-CN"/>
              </w:rPr>
            </w:pPr>
            <w:r>
              <w:rPr>
                <w:rFonts w:hint="eastAsia" w:ascii="宋体" w:hAnsi="宋体" w:eastAsia="宋体" w:cs="宋体"/>
                <w:b w:val="0"/>
                <w:bCs w:val="0"/>
                <w:sz w:val="24"/>
                <w:szCs w:val="24"/>
                <w:highlight w:val="none"/>
              </w:rPr>
              <w:t>专变采集终端</w:t>
            </w:r>
          </w:p>
        </w:tc>
        <w:tc>
          <w:tcPr>
            <w:tcW w:w="4961" w:type="dxa"/>
            <w:vAlign w:val="center"/>
          </w:tcPr>
          <w:p>
            <w:pP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附后</w:t>
            </w:r>
          </w:p>
        </w:tc>
        <w:tc>
          <w:tcPr>
            <w:tcW w:w="850" w:type="dxa"/>
            <w:vAlign w:val="center"/>
          </w:tcPr>
          <w:p>
            <w:pPr>
              <w:jc w:val="cente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2</w:t>
            </w:r>
          </w:p>
        </w:tc>
        <w:tc>
          <w:tcPr>
            <w:tcW w:w="1276" w:type="dxa"/>
            <w:vMerge w:val="restart"/>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lang w:val="en-US" w:eastAsia="zh-CN"/>
              </w:rPr>
              <w:t>22000</w:t>
            </w:r>
            <w:r>
              <w:rPr>
                <w:rFonts w:hint="eastAsia" w:asciiTheme="majorEastAsia" w:hAnsiTheme="majorEastAsia" w:eastAsiaTheme="majorEastAsia"/>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jc w:val="center"/>
              <w:rPr>
                <w:rFonts w:hint="eastAsia"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2</w:t>
            </w:r>
          </w:p>
        </w:tc>
        <w:tc>
          <w:tcPr>
            <w:tcW w:w="1145" w:type="dxa"/>
            <w:vAlign w:val="center"/>
          </w:tcPr>
          <w:p>
            <w:pPr>
              <w:jc w:val="center"/>
              <w:rPr>
                <w:rFonts w:hint="eastAsia" w:asciiTheme="majorEastAsia" w:hAnsiTheme="majorEastAsia" w:eastAsiaTheme="majorEastAsia"/>
                <w:sz w:val="24"/>
                <w:highlight w:val="none"/>
              </w:rPr>
            </w:pPr>
            <w:r>
              <w:rPr>
                <w:rFonts w:hint="eastAsia" w:asciiTheme="majorEastAsia" w:hAnsiTheme="majorEastAsia" w:eastAsiaTheme="majorEastAsia"/>
                <w:sz w:val="24"/>
                <w:highlight w:val="none"/>
              </w:rPr>
              <w:t>高压计量表</w:t>
            </w:r>
          </w:p>
        </w:tc>
        <w:tc>
          <w:tcPr>
            <w:tcW w:w="4961" w:type="dxa"/>
            <w:vAlign w:val="center"/>
          </w:tcPr>
          <w:p>
            <w:pPr>
              <w:rPr>
                <w:rFonts w:hint="default" w:asciiTheme="majorEastAsia" w:hAnsiTheme="majorEastAsia" w:eastAsiaTheme="majorEastAsia"/>
                <w:sz w:val="24"/>
                <w:highlight w:val="none"/>
                <w:lang w:val="en-US"/>
              </w:rPr>
            </w:pPr>
            <w:r>
              <w:rPr>
                <w:rFonts w:hint="eastAsia" w:asciiTheme="majorEastAsia" w:hAnsiTheme="majorEastAsia" w:eastAsiaTheme="majorEastAsia"/>
                <w:sz w:val="24"/>
                <w:highlight w:val="none"/>
                <w:lang w:val="en-US" w:eastAsia="zh-CN"/>
              </w:rPr>
              <w:t>附后</w:t>
            </w:r>
          </w:p>
        </w:tc>
        <w:tc>
          <w:tcPr>
            <w:tcW w:w="850" w:type="dxa"/>
            <w:vAlign w:val="center"/>
          </w:tcPr>
          <w:p>
            <w:pPr>
              <w:jc w:val="cente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2</w:t>
            </w:r>
          </w:p>
        </w:tc>
        <w:tc>
          <w:tcPr>
            <w:tcW w:w="1276" w:type="dxa"/>
            <w:vMerge w:val="continue"/>
            <w:vAlign w:val="center"/>
          </w:tcPr>
          <w:p>
            <w:pPr>
              <w:jc w:val="center"/>
              <w:rPr>
                <w:rFonts w:hint="eastAsia" w:asciiTheme="majorEastAsia" w:hAnsiTheme="majorEastAsia" w:eastAsiaTheme="majorEastAsia"/>
                <w:sz w:val="24"/>
                <w:highlight w:val="none"/>
              </w:rPr>
            </w:pPr>
          </w:p>
        </w:tc>
      </w:tr>
    </w:tbl>
    <w:p>
      <w:pPr>
        <w:pageBreakBefore w:val="0"/>
        <w:kinsoku/>
        <w:wordWrap/>
        <w:overflowPunct/>
        <w:topLinePunct w:val="0"/>
        <w:bidi w:val="0"/>
        <w:spacing w:line="300" w:lineRule="exact"/>
        <w:textAlignment w:val="auto"/>
        <w:rPr>
          <w:rFonts w:hint="eastAsia" w:ascii="仿宋" w:hAnsi="仿宋" w:eastAsia="仿宋"/>
          <w:sz w:val="28"/>
          <w:szCs w:val="28"/>
          <w:lang w:val="zh-TW"/>
        </w:rPr>
      </w:pPr>
      <w:r>
        <w:rPr>
          <w:rFonts w:hint="eastAsia" w:ascii="仿宋" w:hAnsi="仿宋" w:eastAsia="仿宋"/>
          <w:sz w:val="28"/>
          <w:szCs w:val="28"/>
          <w:lang w:val="en-US" w:eastAsia="zh-CN"/>
        </w:rPr>
        <w:t>技术参数：</w:t>
      </w:r>
      <w:r>
        <w:rPr>
          <w:rFonts w:hint="eastAsia" w:ascii="仿宋" w:hAnsi="仿宋" w:eastAsia="仿宋"/>
          <w:sz w:val="28"/>
          <w:szCs w:val="28"/>
          <w:lang w:val="zh-TW"/>
        </w:rPr>
        <w:t xml:space="preserve">  </w:t>
      </w:r>
    </w:p>
    <w:p>
      <w:pPr>
        <w:pageBreakBefore w:val="0"/>
        <w:kinsoku/>
        <w:wordWrap/>
        <w:overflowPunct/>
        <w:topLinePunct w:val="0"/>
        <w:bidi w:val="0"/>
        <w:spacing w:line="3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专变采集终端</w:t>
      </w:r>
    </w:p>
    <w:p>
      <w:pPr>
        <w:pageBreakBefore w:val="0"/>
        <w:kinsoku/>
        <w:wordWrap/>
        <w:overflowPunct/>
        <w:topLinePunct w:val="0"/>
        <w:bidi w:val="0"/>
        <w:spacing w:line="300" w:lineRule="exac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1.1主要参数</w:t>
      </w:r>
    </w:p>
    <w:tbl>
      <w:tblPr>
        <w:tblStyle w:val="13"/>
        <w:tblW w:w="8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283"/>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84" w:type="dxa"/>
            <w:vMerge w:val="restart"/>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规格</w:t>
            </w:r>
          </w:p>
        </w:tc>
        <w:tc>
          <w:tcPr>
            <w:tcW w:w="1283" w:type="dxa"/>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电压</w:t>
            </w:r>
          </w:p>
        </w:tc>
        <w:tc>
          <w:tcPr>
            <w:tcW w:w="5656" w:type="dxa"/>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3×100V    3×57.7V/100V    3×220V/380V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84" w:type="dxa"/>
            <w:vMerge w:val="continue"/>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283" w:type="dxa"/>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电流</w:t>
            </w:r>
          </w:p>
        </w:tc>
        <w:tc>
          <w:tcPr>
            <w:tcW w:w="5656" w:type="dxa"/>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1.5(6) A    5(6) A    5(10)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84" w:type="dxa"/>
            <w:vMerge w:val="restart"/>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精度</w:t>
            </w:r>
          </w:p>
        </w:tc>
        <w:tc>
          <w:tcPr>
            <w:tcW w:w="1283" w:type="dxa"/>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电压电流</w:t>
            </w:r>
          </w:p>
        </w:tc>
        <w:tc>
          <w:tcPr>
            <w:tcW w:w="5656" w:type="dxa"/>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84" w:type="dxa"/>
            <w:vMerge w:val="continue"/>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283" w:type="dxa"/>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有功功率</w:t>
            </w:r>
          </w:p>
        </w:tc>
        <w:tc>
          <w:tcPr>
            <w:tcW w:w="5656" w:type="dxa"/>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84" w:type="dxa"/>
            <w:vMerge w:val="continue"/>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283" w:type="dxa"/>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无功功率</w:t>
            </w:r>
          </w:p>
        </w:tc>
        <w:tc>
          <w:tcPr>
            <w:tcW w:w="5656" w:type="dxa"/>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工频耐压</w:t>
            </w: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4KV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冲击电压</w:t>
            </w: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6KV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静电放电</w:t>
            </w: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8KV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vMerge w:val="restart"/>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快速脉冲群</w:t>
            </w: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电源回路 4KV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vMerge w:val="continue"/>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信号回路 2KV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vMerge w:val="restart"/>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浪涌</w:t>
            </w: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共模 4KV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vMerge w:val="continue"/>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差模 2KV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相对湿度</w:t>
            </w: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电压范围</w:t>
            </w:r>
          </w:p>
        </w:tc>
        <w:tc>
          <w:tcPr>
            <w:tcW w:w="5656" w:type="dxa"/>
            <w:tcBorders>
              <w:top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额定电压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频率范围</w:t>
            </w: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50Hz±5%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MTBF</w:t>
            </w: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rPr>
              <w:sym w:font="Symbol" w:char="F0B4"/>
            </w:r>
            <w:r>
              <w:rPr>
                <w:rFonts w:hint="eastAsia" w:ascii="宋体" w:hAnsi="宋体" w:eastAsia="宋体" w:cs="宋体"/>
                <w:sz w:val="24"/>
                <w:szCs w:val="24"/>
              </w:rPr>
              <w:t>10</w:t>
            </w:r>
            <w:r>
              <w:rPr>
                <w:rFonts w:hint="eastAsia" w:ascii="宋体" w:hAnsi="宋体" w:eastAsia="宋体" w:cs="宋体"/>
                <w:sz w:val="24"/>
                <w:szCs w:val="24"/>
                <w:vertAlign w:val="superscript"/>
              </w:rPr>
              <w:t>4</w:t>
            </w:r>
            <w:r>
              <w:rPr>
                <w:rFonts w:hint="eastAsia" w:ascii="宋体" w:hAnsi="宋体" w:eastAsia="宋体" w:cs="宋体"/>
                <w:sz w:val="24"/>
                <w:szCs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567" w:type="dxa"/>
            <w:gridSpan w:val="2"/>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设计寿命</w:t>
            </w: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1" w:hRule="exact"/>
          <w:jc w:val="center"/>
        </w:trPr>
        <w:tc>
          <w:tcPr>
            <w:tcW w:w="2567" w:type="dxa"/>
            <w:gridSpan w:val="2"/>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硬件接口</w:t>
            </w:r>
          </w:p>
        </w:tc>
        <w:tc>
          <w:tcPr>
            <w:tcW w:w="5656" w:type="dxa"/>
            <w:tcBorders>
              <w:top w:val="single" w:color="auto" w:sz="4" w:space="0"/>
              <w:bottom w:val="single" w:color="auto" w:sz="4" w:space="0"/>
            </w:tcBorders>
            <w:vAlign w:val="center"/>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RS232：1路</w:t>
            </w:r>
          </w:p>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光通信口（红外接口）：1路</w:t>
            </w:r>
          </w:p>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USB接口：1路</w:t>
            </w:r>
          </w:p>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远程无线通信口：1路</w:t>
            </w:r>
          </w:p>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以太网接口：1路</w:t>
            </w:r>
          </w:p>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RS485：2路  </w:t>
            </w:r>
          </w:p>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遥信输入：2路</w:t>
            </w:r>
          </w:p>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门接点：1路</w:t>
            </w:r>
          </w:p>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脉冲输入：2路</w:t>
            </w:r>
          </w:p>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脉冲输出：2路</w:t>
            </w:r>
          </w:p>
        </w:tc>
      </w:tr>
    </w:tbl>
    <w:p>
      <w:pPr>
        <w:pageBreakBefore w:val="0"/>
        <w:kinsoku/>
        <w:wordWrap/>
        <w:overflowPunct/>
        <w:topLinePunct w:val="0"/>
        <w:bidi w:val="0"/>
        <w:spacing w:line="300" w:lineRule="exact"/>
        <w:textAlignment w:val="auto"/>
        <w:rPr>
          <w:rFonts w:hint="eastAsia" w:ascii="宋体" w:hAnsi="宋体" w:cs="宋体"/>
          <w:sz w:val="24"/>
          <w:szCs w:val="24"/>
          <w:lang w:val="en-US" w:eastAsia="zh-CN"/>
        </w:rPr>
      </w:pPr>
      <w:bookmarkStart w:id="0" w:name="_Toc15514"/>
    </w:p>
    <w:p>
      <w:pPr>
        <w:pageBreakBefore w:val="0"/>
        <w:kinsoku/>
        <w:wordWrap/>
        <w:overflowPunct/>
        <w:topLinePunct w:val="0"/>
        <w:bidi w:val="0"/>
        <w:spacing w:line="3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1.2</w:t>
      </w:r>
      <w:r>
        <w:rPr>
          <w:rFonts w:hint="eastAsia" w:ascii="宋体" w:hAnsi="宋体" w:eastAsia="宋体" w:cs="宋体"/>
          <w:b/>
          <w:bCs/>
          <w:sz w:val="24"/>
          <w:szCs w:val="24"/>
        </w:rPr>
        <w:t>功能</w:t>
      </w:r>
      <w:bookmarkEnd w:id="0"/>
    </w:p>
    <w:tbl>
      <w:tblPr>
        <w:tblStyle w:val="13"/>
        <w:tblW w:w="7546"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5"/>
        <w:gridCol w:w="1767"/>
        <w:gridCol w:w="4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915"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序 号</w:t>
            </w:r>
          </w:p>
        </w:tc>
        <w:tc>
          <w:tcPr>
            <w:tcW w:w="6631" w:type="dxa"/>
            <w:gridSpan w:val="2"/>
          </w:tcPr>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         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767"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数据采集</w:t>
            </w: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电能表数据采集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状态量采集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脉冲量采集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67"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数据处理</w:t>
            </w: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实时和当前数据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历史日数据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历史月数据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电能表运行状况监测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电能质量数据统计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67"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参数设置</w:t>
            </w:r>
          </w:p>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和查询</w:t>
            </w: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时钟召测和对时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TA变比、TV变比及电能表脉冲常数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限值参数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终端参数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抄表参数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费率时段等参数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保电/剔除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767"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事件记录</w:t>
            </w: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重要事件记录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一般事件记录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767"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数据传输</w:t>
            </w: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与主站通信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与电能表通信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1767"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本地功能</w:t>
            </w: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显示相关信息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1767" w:type="dxa"/>
            <w:vMerge w:val="restart"/>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终端维护</w:t>
            </w: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自检自恢复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终端初始化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软件远程下载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1767" w:type="dxa"/>
            <w:vMerge w:val="continue"/>
          </w:tcPr>
          <w:p>
            <w:pPr>
              <w:pageBreakBefore w:val="0"/>
              <w:kinsoku/>
              <w:wordWrap/>
              <w:overflowPunct/>
              <w:topLinePunct w:val="0"/>
              <w:bidi w:val="0"/>
              <w:spacing w:line="300" w:lineRule="exact"/>
              <w:textAlignment w:val="auto"/>
              <w:rPr>
                <w:rFonts w:hint="eastAsia" w:ascii="宋体" w:hAnsi="宋体" w:eastAsia="宋体" w:cs="宋体"/>
                <w:sz w:val="24"/>
                <w:szCs w:val="24"/>
              </w:rPr>
            </w:pPr>
          </w:p>
        </w:tc>
        <w:tc>
          <w:tcPr>
            <w:tcW w:w="4864" w:type="dxa"/>
          </w:tcPr>
          <w:p>
            <w:pPr>
              <w:pageBreakBefore w:val="0"/>
              <w:kinsoku/>
              <w:wordWrap/>
              <w:overflowPunct/>
              <w:topLinePunct w:val="0"/>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断点续传</w:t>
            </w:r>
          </w:p>
        </w:tc>
      </w:tr>
    </w:tbl>
    <w:p>
      <w:pPr>
        <w:pageBreakBefore w:val="0"/>
        <w:kinsoku/>
        <w:wordWrap/>
        <w:overflowPunct/>
        <w:topLinePunct w:val="0"/>
        <w:bidi w:val="0"/>
        <w:spacing w:line="300" w:lineRule="exact"/>
        <w:textAlignment w:val="auto"/>
        <w:rPr>
          <w:rFonts w:hint="eastAsia" w:ascii="宋体" w:hAnsi="宋体" w:eastAsia="宋体" w:cs="宋体"/>
          <w:sz w:val="24"/>
          <w:szCs w:val="24"/>
        </w:rPr>
      </w:pPr>
    </w:p>
    <w:p>
      <w:pPr>
        <w:pStyle w:val="3"/>
        <w:pageBreakBefore w:val="0"/>
        <w:kinsoku/>
        <w:wordWrap/>
        <w:overflowPunct/>
        <w:topLinePunct w:val="0"/>
        <w:bidi w:val="0"/>
        <w:spacing w:line="300" w:lineRule="exact"/>
        <w:textAlignment w:val="auto"/>
        <w:rPr>
          <w:rFonts w:hint="eastAsia" w:ascii="宋体" w:hAnsi="宋体" w:eastAsia="宋体" w:cs="宋体"/>
          <w:b/>
          <w:bCs w:val="0"/>
          <w:sz w:val="24"/>
          <w:szCs w:val="24"/>
        </w:rPr>
      </w:pPr>
      <w:r>
        <w:rPr>
          <w:rFonts w:hint="eastAsia" w:hAnsi="宋体" w:cs="宋体"/>
          <w:b/>
          <w:bCs w:val="0"/>
          <w:kern w:val="0"/>
          <w:sz w:val="24"/>
          <w:szCs w:val="24"/>
          <w:lang w:val="en-US" w:eastAsia="zh-CN"/>
        </w:rPr>
        <w:t>2</w:t>
      </w:r>
      <w:r>
        <w:rPr>
          <w:rFonts w:hint="eastAsia" w:ascii="宋体" w:hAnsi="宋体" w:eastAsia="宋体" w:cs="宋体"/>
          <w:b/>
          <w:bCs w:val="0"/>
          <w:kern w:val="0"/>
          <w:sz w:val="24"/>
          <w:szCs w:val="24"/>
          <w:lang w:val="en-US" w:eastAsia="zh-CN"/>
        </w:rPr>
        <w:t>高压计量表</w:t>
      </w:r>
      <w:r>
        <w:rPr>
          <w:rFonts w:hint="eastAsia" w:ascii="宋体" w:hAnsi="宋体" w:eastAsia="宋体" w:cs="宋体"/>
          <w:b/>
          <w:bCs w:val="0"/>
          <w:sz w:val="24"/>
          <w:szCs w:val="24"/>
        </w:rPr>
        <w:t>技术参数</w:t>
      </w:r>
    </w:p>
    <w:p>
      <w:pPr>
        <w:pStyle w:val="4"/>
        <w:pageBreakBefore w:val="0"/>
        <w:kinsoku/>
        <w:wordWrap/>
        <w:overflowPunct/>
        <w:topLinePunct w:val="0"/>
        <w:bidi w:val="0"/>
        <w:spacing w:before="0" w:beforeLines="0" w:after="0" w:afterLines="0" w:line="300" w:lineRule="exact"/>
        <w:textAlignment w:val="auto"/>
        <w:rPr>
          <w:rFonts w:hint="eastAsia" w:ascii="宋体" w:hAnsi="宋体" w:eastAsia="宋体" w:cs="宋体"/>
          <w:sz w:val="24"/>
          <w:szCs w:val="24"/>
        </w:rPr>
      </w:pPr>
      <w:bookmarkStart w:id="1" w:name="_Toc17107612"/>
      <w:r>
        <w:rPr>
          <w:rFonts w:hint="eastAsia" w:cs="宋体"/>
          <w:sz w:val="24"/>
          <w:szCs w:val="24"/>
          <w:lang w:val="en-US" w:eastAsia="zh-CN"/>
        </w:rPr>
        <w:t>2</w:t>
      </w:r>
      <w:r>
        <w:rPr>
          <w:rFonts w:hint="eastAsia" w:ascii="宋体" w:hAnsi="宋体" w:eastAsia="宋体" w:cs="宋体"/>
          <w:sz w:val="24"/>
          <w:szCs w:val="24"/>
        </w:rPr>
        <w:t>.1主要技术参数</w:t>
      </w:r>
      <w:bookmarkEnd w:id="1"/>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78"/>
        <w:gridCol w:w="4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09" w:type="dxa"/>
            <w:vMerge w:val="restart"/>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级别</w:t>
            </w:r>
          </w:p>
        </w:tc>
        <w:tc>
          <w:tcPr>
            <w:tcW w:w="778" w:type="dxa"/>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有功</w:t>
            </w:r>
          </w:p>
        </w:tc>
        <w:tc>
          <w:tcPr>
            <w:tcW w:w="4781" w:type="dxa"/>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0.2S、0.5S、1.0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09" w:type="dxa"/>
            <w:vMerge w:val="continue"/>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p>
        </w:tc>
        <w:tc>
          <w:tcPr>
            <w:tcW w:w="778" w:type="dxa"/>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无功</w:t>
            </w:r>
          </w:p>
        </w:tc>
        <w:tc>
          <w:tcPr>
            <w:tcW w:w="4781" w:type="dxa"/>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87" w:type="dxa"/>
            <w:gridSpan w:val="2"/>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额定电压</w:t>
            </w:r>
          </w:p>
        </w:tc>
        <w:tc>
          <w:tcPr>
            <w:tcW w:w="4781" w:type="dxa"/>
            <w:tcBorders>
              <w:top w:val="single" w:color="auto" w:sz="4" w:space="0"/>
            </w:tcBorders>
            <w:noWrap w:val="0"/>
            <w:vAlign w:val="center"/>
          </w:tcPr>
          <w:p>
            <w:pPr>
              <w:pageBreakBefore w:val="0"/>
              <w:kinsoku/>
              <w:wordWrap/>
              <w:overflowPunct/>
              <w:topLinePunct w:val="0"/>
              <w:bidi w:val="0"/>
              <w:snapToGrid w:val="0"/>
              <w:spacing w:line="300" w:lineRule="exact"/>
              <w:ind w:firstLine="715" w:firstLineChars="298"/>
              <w:textAlignment w:val="auto"/>
              <w:rPr>
                <w:rFonts w:hint="eastAsia" w:ascii="宋体" w:hAnsi="宋体" w:eastAsia="宋体" w:cs="宋体"/>
                <w:sz w:val="24"/>
                <w:szCs w:val="24"/>
                <w:lang w:val="de-DE"/>
              </w:rPr>
            </w:pPr>
            <w:r>
              <w:rPr>
                <w:rFonts w:hint="eastAsia" w:ascii="宋体" w:hAnsi="宋体" w:eastAsia="宋体" w:cs="宋体"/>
                <w:sz w:val="24"/>
                <w:szCs w:val="24"/>
                <w:lang w:val="de-DE"/>
              </w:rPr>
              <w:t xml:space="preserve">3×100V </w:t>
            </w:r>
          </w:p>
          <w:p>
            <w:pPr>
              <w:pageBreakBefore w:val="0"/>
              <w:kinsoku/>
              <w:wordWrap/>
              <w:overflowPunct/>
              <w:topLinePunct w:val="0"/>
              <w:bidi w:val="0"/>
              <w:snapToGrid w:val="0"/>
              <w:spacing w:line="300" w:lineRule="exact"/>
              <w:ind w:firstLine="715" w:firstLineChars="298"/>
              <w:textAlignment w:val="auto"/>
              <w:rPr>
                <w:rFonts w:hint="eastAsia" w:ascii="宋体" w:hAnsi="宋体" w:eastAsia="宋体" w:cs="宋体"/>
                <w:sz w:val="24"/>
                <w:szCs w:val="24"/>
                <w:lang w:val="de-DE"/>
              </w:rPr>
            </w:pPr>
            <w:r>
              <w:rPr>
                <w:rFonts w:hint="eastAsia" w:ascii="宋体" w:hAnsi="宋体" w:eastAsia="宋体" w:cs="宋体"/>
                <w:sz w:val="24"/>
                <w:szCs w:val="24"/>
                <w:lang w:val="de-DE"/>
              </w:rPr>
              <w:t>3×57.7V/100V  3×220V/380V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87" w:type="dxa"/>
            <w:gridSpan w:val="2"/>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标定(最大)电流</w:t>
            </w:r>
          </w:p>
        </w:tc>
        <w:tc>
          <w:tcPr>
            <w:tcW w:w="4781" w:type="dxa"/>
            <w:tcBorders>
              <w:top w:val="single" w:color="auto" w:sz="4" w:space="0"/>
            </w:tcBorders>
            <w:noWrap w:val="0"/>
            <w:vAlign w:val="center"/>
          </w:tcPr>
          <w:p>
            <w:pPr>
              <w:pageBreakBefore w:val="0"/>
              <w:kinsoku/>
              <w:wordWrap/>
              <w:overflowPunct/>
              <w:topLinePunct w:val="0"/>
              <w:bidi w:val="0"/>
              <w:snapToGrid w:val="0"/>
              <w:spacing w:line="300" w:lineRule="exact"/>
              <w:ind w:left="1364" w:hanging="1819" w:hangingChars="758"/>
              <w:textAlignment w:val="auto"/>
              <w:rPr>
                <w:rFonts w:hint="eastAsia" w:ascii="宋体" w:hAnsi="宋体" w:eastAsia="宋体" w:cs="宋体"/>
                <w:sz w:val="24"/>
                <w:szCs w:val="24"/>
              </w:rPr>
            </w:pPr>
            <w:r>
              <w:rPr>
                <w:rFonts w:hint="eastAsia" w:ascii="宋体" w:hAnsi="宋体" w:eastAsia="宋体" w:cs="宋体"/>
                <w:sz w:val="24"/>
                <w:szCs w:val="24"/>
              </w:rPr>
              <w:t>互感器接入式：3×0.3(1.2)A   3×1(2)A     3×1(4)A 3×1.5(6)A    3×5(6)A等</w:t>
            </w:r>
          </w:p>
          <w:p>
            <w:pPr>
              <w:pageBreakBefore w:val="0"/>
              <w:kinsoku/>
              <w:wordWrap/>
              <w:overflowPunct/>
              <w:topLinePunct w:val="0"/>
              <w:bidi w:val="0"/>
              <w:snapToGrid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直接接入式：  3×5(20)A     3×5(60)A    3×10(40)A</w:t>
            </w:r>
          </w:p>
          <w:p>
            <w:pPr>
              <w:pageBreakBefore w:val="0"/>
              <w:kinsoku/>
              <w:wordWrap/>
              <w:overflowPunct/>
              <w:topLinePunct w:val="0"/>
              <w:bidi w:val="0"/>
              <w:snapToGrid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3×20(80)A    3×30(100)A  3×10(100)A</w:t>
            </w:r>
          </w:p>
          <w:p>
            <w:pPr>
              <w:pageBreakBefore w:val="0"/>
              <w:kinsoku/>
              <w:wordWrap/>
              <w:overflowPunct/>
              <w:topLinePunct w:val="0"/>
              <w:bidi w:val="0"/>
              <w:snapToGrid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3×1(100)A等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09" w:type="dxa"/>
            <w:vMerge w:val="restart"/>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功耗</w:t>
            </w:r>
          </w:p>
        </w:tc>
        <w:tc>
          <w:tcPr>
            <w:tcW w:w="778" w:type="dxa"/>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电压</w:t>
            </w:r>
          </w:p>
        </w:tc>
        <w:tc>
          <w:tcPr>
            <w:tcW w:w="4781" w:type="dxa"/>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＜1.5W/6VA(外电源0.5VA)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09" w:type="dxa"/>
            <w:vMerge w:val="continue"/>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p>
        </w:tc>
        <w:tc>
          <w:tcPr>
            <w:tcW w:w="778" w:type="dxa"/>
            <w:tcBorders>
              <w:top w:val="single" w:color="auto" w:sz="4" w:space="0"/>
              <w:bottom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电流</w:t>
            </w:r>
          </w:p>
        </w:tc>
        <w:tc>
          <w:tcPr>
            <w:tcW w:w="4781" w:type="dxa"/>
            <w:tcBorders>
              <w:top w:val="single" w:color="auto" w:sz="4" w:space="0"/>
              <w:bottom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＜0.2VA(In&lt;10A)</w:t>
            </w:r>
          </w:p>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＜0.4VA(In&gt;10A)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7" w:type="dxa"/>
            <w:gridSpan w:val="2"/>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工作温度</w:t>
            </w:r>
          </w:p>
        </w:tc>
        <w:tc>
          <w:tcPr>
            <w:tcW w:w="4781" w:type="dxa"/>
            <w:tcBorders>
              <w:top w:val="single" w:color="auto" w:sz="4" w:space="0"/>
              <w:bottom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7" w:type="dxa"/>
            <w:gridSpan w:val="2"/>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极限工作温度</w:t>
            </w:r>
          </w:p>
        </w:tc>
        <w:tc>
          <w:tcPr>
            <w:tcW w:w="4781" w:type="dxa"/>
            <w:tcBorders>
              <w:top w:val="single" w:color="auto" w:sz="4" w:space="0"/>
              <w:bottom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7" w:type="dxa"/>
            <w:gridSpan w:val="2"/>
            <w:vMerge w:val="restart"/>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相对湿度</w:t>
            </w:r>
          </w:p>
        </w:tc>
        <w:tc>
          <w:tcPr>
            <w:tcW w:w="4781" w:type="dxa"/>
            <w:tcBorders>
              <w:top w:val="single" w:color="auto" w:sz="4" w:space="0"/>
              <w:bottom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年平均＜75%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7" w:type="dxa"/>
            <w:gridSpan w:val="2"/>
            <w:vMerge w:val="continue"/>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p>
        </w:tc>
        <w:tc>
          <w:tcPr>
            <w:tcW w:w="4781" w:type="dxa"/>
            <w:tcBorders>
              <w:top w:val="single" w:color="auto" w:sz="4" w:space="0"/>
              <w:bottom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30天（一年内这些天是以自然分布） 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7" w:type="dxa"/>
            <w:gridSpan w:val="2"/>
            <w:vMerge w:val="continue"/>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p>
        </w:tc>
        <w:tc>
          <w:tcPr>
            <w:tcW w:w="4781" w:type="dxa"/>
            <w:tcBorders>
              <w:top w:val="single" w:color="auto" w:sz="4" w:space="0"/>
              <w:bottom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在其它天偶然出现 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7" w:type="dxa"/>
            <w:gridSpan w:val="2"/>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电压范围</w:t>
            </w:r>
          </w:p>
        </w:tc>
        <w:tc>
          <w:tcPr>
            <w:tcW w:w="4781" w:type="dxa"/>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额定电压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7" w:type="dxa"/>
            <w:gridSpan w:val="2"/>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频率</w:t>
            </w:r>
          </w:p>
        </w:tc>
        <w:tc>
          <w:tcPr>
            <w:tcW w:w="4781" w:type="dxa"/>
            <w:tcBorders>
              <w:top w:val="single" w:color="auto" w:sz="4" w:space="0"/>
              <w:bottom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7" w:type="dxa"/>
            <w:gridSpan w:val="2"/>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MTBF</w:t>
            </w:r>
          </w:p>
        </w:tc>
        <w:tc>
          <w:tcPr>
            <w:tcW w:w="4781" w:type="dxa"/>
            <w:tcBorders>
              <w:top w:val="single" w:color="auto" w:sz="4" w:space="0"/>
              <w:bottom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rPr>
              <w:sym w:font="Symbol" w:char="F0B4"/>
            </w:r>
            <w:r>
              <w:rPr>
                <w:rFonts w:hint="eastAsia" w:ascii="宋体" w:hAnsi="宋体" w:eastAsia="宋体" w:cs="宋体"/>
                <w:sz w:val="24"/>
                <w:szCs w:val="24"/>
              </w:rPr>
              <w:t>10</w:t>
            </w:r>
            <w:r>
              <w:rPr>
                <w:rFonts w:hint="eastAsia" w:ascii="宋体" w:hAnsi="宋体" w:eastAsia="宋体" w:cs="宋体"/>
                <w:sz w:val="24"/>
                <w:szCs w:val="24"/>
                <w:vertAlign w:val="superscript"/>
              </w:rPr>
              <w:t>4</w:t>
            </w:r>
            <w:r>
              <w:rPr>
                <w:rFonts w:hint="eastAsia" w:ascii="宋体" w:hAnsi="宋体" w:eastAsia="宋体" w:cs="宋体"/>
                <w:sz w:val="24"/>
                <w:szCs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7" w:type="dxa"/>
            <w:gridSpan w:val="2"/>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设计寿命</w:t>
            </w:r>
          </w:p>
        </w:tc>
        <w:tc>
          <w:tcPr>
            <w:tcW w:w="4781" w:type="dxa"/>
            <w:tcBorders>
              <w:top w:val="single" w:color="auto" w:sz="4" w:space="0"/>
            </w:tcBorders>
            <w:noWrap w:val="0"/>
            <w:vAlign w:val="center"/>
          </w:tcPr>
          <w:p>
            <w:pPr>
              <w:pageBreakBefore w:val="0"/>
              <w:kinsoku/>
              <w:wordWrap/>
              <w:overflowPunct/>
              <w:topLinePunct w:val="0"/>
              <w:bidi w:val="0"/>
              <w:snapToGrid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15年</w:t>
            </w:r>
          </w:p>
        </w:tc>
      </w:tr>
    </w:tbl>
    <w:p>
      <w:pPr>
        <w:pStyle w:val="4"/>
        <w:pageBreakBefore w:val="0"/>
        <w:kinsoku/>
        <w:wordWrap/>
        <w:overflowPunct/>
        <w:topLinePunct w:val="0"/>
        <w:bidi w:val="0"/>
        <w:spacing w:before="0" w:beforeLines="0" w:after="0" w:afterLines="0" w:line="300" w:lineRule="exact"/>
        <w:textAlignment w:val="auto"/>
        <w:rPr>
          <w:rFonts w:hint="eastAsia" w:ascii="宋体" w:hAnsi="宋体" w:eastAsia="宋体" w:cs="宋体"/>
          <w:sz w:val="24"/>
          <w:szCs w:val="24"/>
        </w:rPr>
      </w:pPr>
      <w:bookmarkStart w:id="2" w:name="_Toc17107613"/>
      <w:r>
        <w:rPr>
          <w:rFonts w:hint="eastAsia" w:ascii="宋体" w:hAnsi="宋体" w:eastAsia="宋体" w:cs="宋体"/>
          <w:sz w:val="24"/>
          <w:szCs w:val="24"/>
          <w:lang w:val="en-US" w:eastAsia="zh-CN"/>
        </w:rPr>
        <w:t>2.</w:t>
      </w:r>
      <w:r>
        <w:rPr>
          <w:rFonts w:hint="eastAsia" w:eastAsia="宋体" w:cs="宋体"/>
          <w:sz w:val="24"/>
          <w:szCs w:val="24"/>
          <w:lang w:val="en-US" w:eastAsia="zh-CN"/>
        </w:rPr>
        <w:t>1.</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w:t>
      </w:r>
      <w:bookmarkEnd w:id="2"/>
      <w:r>
        <w:rPr>
          <w:rFonts w:hint="eastAsia" w:ascii="宋体" w:hAnsi="宋体" w:eastAsia="宋体" w:cs="宋体"/>
          <w:sz w:val="24"/>
          <w:szCs w:val="24"/>
        </w:rPr>
        <w:t>时钟准确度</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日计时误差≤0.5s/d</w:t>
      </w:r>
    </w:p>
    <w:p>
      <w:pPr>
        <w:pStyle w:val="4"/>
        <w:pageBreakBefore w:val="0"/>
        <w:kinsoku/>
        <w:wordWrap/>
        <w:overflowPunct/>
        <w:topLinePunct w:val="0"/>
        <w:bidi w:val="0"/>
        <w:spacing w:before="0" w:beforeLines="0" w:after="0" w:afterLines="0" w:line="3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eastAsia="宋体" w:cs="宋体"/>
          <w:sz w:val="24"/>
          <w:szCs w:val="24"/>
          <w:lang w:val="en-US" w:eastAsia="zh-CN"/>
        </w:rPr>
        <w:t>1.</w:t>
      </w:r>
      <w:r>
        <w:rPr>
          <w:rFonts w:hint="eastAsia" w:ascii="宋体" w:hAnsi="宋体" w:eastAsia="宋体" w:cs="宋体"/>
          <w:sz w:val="24"/>
          <w:szCs w:val="24"/>
          <w:lang w:val="en-US" w:eastAsia="zh-CN"/>
        </w:rPr>
        <w:t>3</w:t>
      </w:r>
      <w:r>
        <w:rPr>
          <w:rFonts w:hint="eastAsia" w:ascii="宋体" w:hAnsi="宋体" w:eastAsia="宋体" w:cs="宋体"/>
          <w:sz w:val="24"/>
          <w:szCs w:val="24"/>
        </w:rPr>
        <w:t>实时时钟电池</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标称电压：3.6V        </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标称容量：≥1.20Ah</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工作温度范围：-60℃～+85℃</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停电后数据保存时间：≥15年</w:t>
      </w:r>
    </w:p>
    <w:p>
      <w:pPr>
        <w:pStyle w:val="4"/>
        <w:pageBreakBefore w:val="0"/>
        <w:kinsoku/>
        <w:wordWrap/>
        <w:overflowPunct/>
        <w:topLinePunct w:val="0"/>
        <w:bidi w:val="0"/>
        <w:spacing w:before="0" w:beforeLines="0" w:after="0" w:afterLines="0" w:line="3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eastAsia="宋体" w:cs="宋体"/>
          <w:sz w:val="24"/>
          <w:szCs w:val="24"/>
          <w:lang w:val="en-US" w:eastAsia="zh-CN"/>
        </w:rPr>
        <w:t>1.</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停电抄表及全失压监测电池</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标称电压：3.6V (单节)或6.0V（双节），以具体发货为准。</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标称容量：≥1.20Ah</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工作温度范围：-60℃～+85℃</w:t>
      </w:r>
    </w:p>
    <w:p>
      <w:pPr>
        <w:pStyle w:val="4"/>
        <w:pageBreakBefore w:val="0"/>
        <w:kinsoku/>
        <w:wordWrap/>
        <w:overflowPunct/>
        <w:topLinePunct w:val="0"/>
        <w:bidi w:val="0"/>
        <w:spacing w:before="0" w:beforeLines="0" w:after="0" w:afterLines="0" w:line="300" w:lineRule="exact"/>
        <w:textAlignment w:val="auto"/>
        <w:rPr>
          <w:rFonts w:hint="eastAsia" w:ascii="宋体" w:hAnsi="宋体" w:eastAsia="宋体" w:cs="宋体"/>
          <w:sz w:val="24"/>
          <w:szCs w:val="24"/>
        </w:rPr>
      </w:pPr>
      <w:bookmarkStart w:id="3" w:name="_Hlt17712130"/>
      <w:bookmarkEnd w:id="3"/>
      <w:bookmarkStart w:id="4" w:name="_Toc17107614"/>
      <w:r>
        <w:rPr>
          <w:rFonts w:hint="eastAsia" w:ascii="宋体" w:hAnsi="宋体" w:eastAsia="宋体" w:cs="宋体"/>
          <w:sz w:val="24"/>
          <w:szCs w:val="24"/>
          <w:lang w:val="en-US" w:eastAsia="zh-CN"/>
        </w:rPr>
        <w:t>2.</w:t>
      </w:r>
      <w:r>
        <w:rPr>
          <w:rFonts w:hint="eastAsia" w:eastAsia="宋体" w:cs="宋体"/>
          <w:sz w:val="24"/>
          <w:szCs w:val="24"/>
          <w:lang w:val="en-US" w:eastAsia="zh-CN"/>
        </w:rPr>
        <w:t>1.</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光耦脉冲输出</w:t>
      </w:r>
      <w:bookmarkEnd w:id="4"/>
    </w:p>
    <w:tbl>
      <w:tblPr>
        <w:tblStyle w:val="13"/>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3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179" w:type="dxa"/>
            <w:noWrap w:val="0"/>
            <w:vAlign w:val="center"/>
          </w:tcPr>
          <w:p>
            <w:pPr>
              <w:pageBreakBefore w:val="0"/>
              <w:kinsoku/>
              <w:wordWrap/>
              <w:overflowPunct/>
              <w:topLinePunct w:val="0"/>
              <w:bidi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脉冲输出宽度</w:t>
            </w:r>
          </w:p>
        </w:tc>
        <w:tc>
          <w:tcPr>
            <w:tcW w:w="3761" w:type="dxa"/>
            <w:noWrap w:val="0"/>
            <w:vAlign w:val="center"/>
          </w:tcPr>
          <w:p>
            <w:pPr>
              <w:pageBreakBefore w:val="0"/>
              <w:kinsoku/>
              <w:wordWrap/>
              <w:overflowPunct/>
              <w:topLinePunct w:val="0"/>
              <w:bidi w:val="0"/>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80ms</w:t>
            </w:r>
          </w:p>
        </w:tc>
      </w:tr>
    </w:tbl>
    <w:p>
      <w:pPr>
        <w:pageBreakBefore w:val="0"/>
        <w:kinsoku/>
        <w:wordWrap/>
        <w:overflowPunct/>
        <w:topLinePunct w:val="0"/>
        <w:bidi w:val="0"/>
        <w:spacing w:line="300" w:lineRule="exact"/>
        <w:textAlignment w:val="auto"/>
        <w:rPr>
          <w:rFonts w:hint="eastAsia" w:ascii="宋体" w:hAnsi="宋体" w:eastAsia="宋体" w:cs="宋体"/>
          <w:sz w:val="24"/>
          <w:szCs w:val="24"/>
        </w:rPr>
      </w:pPr>
      <w:bookmarkStart w:id="5" w:name="_Toc17107616"/>
    </w:p>
    <w:p>
      <w:pPr>
        <w:pStyle w:val="2"/>
        <w:pageBreakBefore w:val="0"/>
        <w:kinsoku/>
        <w:wordWrap/>
        <w:overflowPunct/>
        <w:topLinePunct w:val="0"/>
        <w:bidi w:val="0"/>
        <w:spacing w:line="300" w:lineRule="exact"/>
        <w:textAlignment w:val="auto"/>
        <w:rPr>
          <w:rFonts w:hint="eastAsia" w:ascii="宋体" w:hAnsi="宋体" w:eastAsia="宋体" w:cs="宋体"/>
          <w:sz w:val="24"/>
          <w:szCs w:val="24"/>
        </w:rPr>
      </w:pPr>
      <w:bookmarkStart w:id="6" w:name="_Toc247021153"/>
      <w:bookmarkStart w:id="7" w:name="_Toc294272242"/>
      <w:r>
        <w:rPr>
          <w:rFonts w:hint="eastAsia" w:ascii="宋体" w:hAnsi="宋体" w:eastAsia="宋体" w:cs="宋体"/>
          <w:sz w:val="24"/>
          <w:szCs w:val="24"/>
          <w:lang w:val="en-US" w:eastAsia="zh-CN"/>
        </w:rPr>
        <w:t>2.2</w:t>
      </w:r>
      <w:r>
        <w:rPr>
          <w:rFonts w:hint="eastAsia" w:ascii="宋体" w:hAnsi="宋体" w:eastAsia="宋体" w:cs="宋体"/>
          <w:sz w:val="24"/>
          <w:szCs w:val="24"/>
        </w:rPr>
        <w:t xml:space="preserve"> 基本功能</w:t>
      </w:r>
      <w:bookmarkEnd w:id="5"/>
      <w:bookmarkEnd w:id="6"/>
      <w:bookmarkEnd w:id="7"/>
    </w:p>
    <w:p>
      <w:pPr>
        <w:pStyle w:val="3"/>
        <w:pageBreakBefore w:val="0"/>
        <w:kinsoku/>
        <w:wordWrap/>
        <w:overflowPunct/>
        <w:topLinePunct w:val="0"/>
        <w:bidi w:val="0"/>
        <w:spacing w:line="300" w:lineRule="exact"/>
        <w:textAlignment w:val="auto"/>
        <w:rPr>
          <w:rFonts w:hint="eastAsia" w:ascii="宋体" w:hAnsi="宋体" w:eastAsia="宋体" w:cs="宋体"/>
          <w:b w:val="0"/>
          <w:bCs/>
          <w:sz w:val="24"/>
          <w:szCs w:val="24"/>
        </w:rPr>
      </w:pPr>
      <w:bookmarkStart w:id="8" w:name="_Toc294272243"/>
      <w:bookmarkStart w:id="9" w:name="_Toc247021154"/>
      <w:bookmarkStart w:id="10" w:name="_Toc17107617"/>
      <w:bookmarkStart w:id="11" w:name="_Toc184197868"/>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2.1</w:t>
      </w:r>
      <w:r>
        <w:rPr>
          <w:rFonts w:hint="eastAsia" w:ascii="宋体" w:hAnsi="宋体" w:eastAsia="宋体" w:cs="宋体"/>
          <w:b w:val="0"/>
          <w:bCs/>
          <w:sz w:val="24"/>
          <w:szCs w:val="24"/>
        </w:rPr>
        <w:t xml:space="preserve"> 电能计量</w:t>
      </w:r>
      <w:bookmarkEnd w:id="8"/>
      <w:bookmarkEnd w:id="9"/>
      <w:bookmarkEnd w:id="10"/>
      <w:bookmarkEnd w:id="11"/>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具有正向有功、反向有功、四象限无功电能计量功能，并可以据此设置组合有功和组合无功电能。</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四象限无功电能除能分别记录、显示外，还可通过软件编程，实现组合无功1和组合无功2电能的计算、记录、显示。</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具有分时计量功能，即可按相应的时段分别累计并存储总、尖、峰、平、谷有功电能和无功电能。</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具有计量分相有无功电能量功能。</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能存储12个结算日电量数据，结算时间可设定为每月中任何一天的整点时刻。</w:t>
      </w:r>
    </w:p>
    <w:p>
      <w:pPr>
        <w:pStyle w:val="3"/>
        <w:pageBreakBefore w:val="0"/>
        <w:kinsoku/>
        <w:wordWrap/>
        <w:overflowPunct/>
        <w:topLinePunct w:val="0"/>
        <w:bidi w:val="0"/>
        <w:spacing w:line="300" w:lineRule="exact"/>
        <w:textAlignment w:val="auto"/>
        <w:rPr>
          <w:rFonts w:hint="eastAsia" w:ascii="宋体" w:hAnsi="宋体" w:eastAsia="宋体" w:cs="宋体"/>
          <w:b w:val="0"/>
          <w:bCs/>
          <w:sz w:val="24"/>
          <w:szCs w:val="24"/>
        </w:rPr>
      </w:pPr>
      <w:bookmarkStart w:id="12" w:name="_Toc17107618"/>
      <w:bookmarkStart w:id="13" w:name="_Toc184197869"/>
      <w:bookmarkStart w:id="14" w:name="_Toc247021155"/>
      <w:bookmarkStart w:id="15" w:name="_Toc294272244"/>
      <w:r>
        <w:rPr>
          <w:rFonts w:hint="eastAsia" w:ascii="宋体" w:hAnsi="宋体" w:eastAsia="宋体" w:cs="宋体"/>
          <w:b w:val="0"/>
          <w:bCs/>
          <w:sz w:val="24"/>
          <w:szCs w:val="24"/>
        </w:rPr>
        <w:t>2.2</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 xml:space="preserve"> 最大需量测量</w:t>
      </w:r>
      <w:bookmarkEnd w:id="12"/>
      <w:bookmarkEnd w:id="13"/>
      <w:bookmarkEnd w:id="14"/>
      <w:bookmarkEnd w:id="15"/>
    </w:p>
    <w:p>
      <w:pPr>
        <w:pageBreakBefore w:val="0"/>
        <w:kinsoku/>
        <w:wordWrap/>
        <w:overflowPunct/>
        <w:topLinePunct w:val="0"/>
        <w:bidi w:val="0"/>
        <w:spacing w:line="300" w:lineRule="exact"/>
        <w:ind w:left="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测量双向最大需量、分时段最大需量及其出现的日期和时间，并存储带时标的数据。最大需量值可以手动按键清零或抄表器清零，需量清零有编程开关、密码限制。</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最大需量测量采用滑差方式，需量周期和滑差时间可设置。</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发生电压线路上电、时段转换、清零、时钟调整等情况时，电能表从当前时刻开始，按照需量周期进行需量测量，当第一个需量周期完成后，按滑差间隔开始最大需量测量。在一个不完整的需量周期内，不做最大需量的记录。</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能存储12个结算日最大需量数据。</w:t>
      </w:r>
    </w:p>
    <w:p>
      <w:pPr>
        <w:pStyle w:val="3"/>
        <w:pageBreakBefore w:val="0"/>
        <w:kinsoku/>
        <w:wordWrap/>
        <w:overflowPunct/>
        <w:topLinePunct w:val="0"/>
        <w:bidi w:val="0"/>
        <w:spacing w:line="300" w:lineRule="exact"/>
        <w:textAlignment w:val="auto"/>
        <w:rPr>
          <w:rFonts w:hint="eastAsia" w:ascii="宋体" w:hAnsi="宋体" w:eastAsia="宋体" w:cs="宋体"/>
          <w:b w:val="0"/>
          <w:bCs/>
          <w:sz w:val="24"/>
          <w:szCs w:val="24"/>
        </w:rPr>
      </w:pPr>
      <w:bookmarkStart w:id="16" w:name="_Toc17107619"/>
      <w:bookmarkStart w:id="17" w:name="_Toc184197870"/>
      <w:bookmarkStart w:id="18" w:name="_Toc294272245"/>
      <w:bookmarkStart w:id="19" w:name="_Toc247021156"/>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 xml:space="preserve">3 </w:t>
      </w:r>
      <w:bookmarkEnd w:id="16"/>
      <w:bookmarkEnd w:id="17"/>
      <w:r>
        <w:rPr>
          <w:rFonts w:hint="eastAsia" w:ascii="宋体" w:hAnsi="宋体" w:eastAsia="宋体" w:cs="宋体"/>
          <w:b w:val="0"/>
          <w:bCs/>
          <w:sz w:val="24"/>
          <w:szCs w:val="24"/>
        </w:rPr>
        <w:t>时钟、时段及费率功能</w:t>
      </w:r>
      <w:bookmarkEnd w:id="18"/>
      <w:bookmarkEnd w:id="19"/>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bookmarkStart w:id="20" w:name="OLE_LINK3"/>
      <w:r>
        <w:rPr>
          <w:rFonts w:hint="eastAsia" w:ascii="宋体" w:hAnsi="宋体" w:eastAsia="宋体" w:cs="宋体"/>
          <w:sz w:val="24"/>
          <w:szCs w:val="24"/>
        </w:rPr>
        <w:t>采用具有温度补偿功能的内置硬件时钟电路，具有日历、计时和闰年自动切换功能。内部时钟端子输出频率为1Hz。</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具有2套时区表，可配置2套时区表切换时间； </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具有2套日时段表，可配置2套日时段表切换时间；</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可以配置公共假日时段。</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可以配置周休日和周休日选择的日时段表号。</w:t>
      </w:r>
      <w:bookmarkEnd w:id="20"/>
    </w:p>
    <w:p>
      <w:pPr>
        <w:pStyle w:val="3"/>
        <w:pageBreakBefore w:val="0"/>
        <w:kinsoku/>
        <w:wordWrap/>
        <w:overflowPunct/>
        <w:topLinePunct w:val="0"/>
        <w:bidi w:val="0"/>
        <w:spacing w:line="300" w:lineRule="exact"/>
        <w:textAlignment w:val="auto"/>
        <w:rPr>
          <w:rFonts w:hint="eastAsia" w:ascii="宋体" w:hAnsi="宋体" w:eastAsia="宋体" w:cs="宋体"/>
          <w:b w:val="0"/>
          <w:bCs/>
          <w:sz w:val="24"/>
          <w:szCs w:val="24"/>
        </w:rPr>
      </w:pPr>
      <w:bookmarkStart w:id="21" w:name="_Toc17107621"/>
      <w:bookmarkStart w:id="22" w:name="_Toc184197871"/>
      <w:bookmarkStart w:id="23" w:name="_Toc294272246"/>
      <w:bookmarkStart w:id="24" w:name="_Toc247021157"/>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4 测量</w:t>
      </w:r>
      <w:bookmarkEnd w:id="21"/>
      <w:bookmarkEnd w:id="22"/>
      <w:r>
        <w:rPr>
          <w:rFonts w:hint="eastAsia" w:ascii="宋体" w:hAnsi="宋体" w:eastAsia="宋体" w:cs="宋体"/>
          <w:b w:val="0"/>
          <w:bCs/>
          <w:sz w:val="24"/>
          <w:szCs w:val="24"/>
        </w:rPr>
        <w:t>及监测</w:t>
      </w:r>
      <w:bookmarkEnd w:id="23"/>
      <w:bookmarkEnd w:id="24"/>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可测量电压、电流、有功功率、无功功率、视在功率、功率因数、相角、电网频率、电池电压等。</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提供越限监测功能，可对线（相）电压、电流、功率因数等参数设置阀值并进行监测，当某参数超出或低于设定的限值时，以事件方式进行记录。</w:t>
      </w:r>
    </w:p>
    <w:p>
      <w:pPr>
        <w:pStyle w:val="3"/>
        <w:pageBreakBefore w:val="0"/>
        <w:kinsoku/>
        <w:wordWrap/>
        <w:overflowPunct/>
        <w:topLinePunct w:val="0"/>
        <w:bidi w:val="0"/>
        <w:spacing w:line="300" w:lineRule="exact"/>
        <w:textAlignment w:val="auto"/>
        <w:rPr>
          <w:rFonts w:hint="eastAsia" w:ascii="宋体" w:hAnsi="宋体" w:eastAsia="宋体" w:cs="宋体"/>
          <w:b w:val="0"/>
          <w:bCs/>
          <w:sz w:val="24"/>
          <w:szCs w:val="24"/>
        </w:rPr>
      </w:pPr>
      <w:bookmarkStart w:id="25" w:name="_Toc294272247"/>
      <w:bookmarkStart w:id="26" w:name="_Toc247021158"/>
      <w:bookmarkStart w:id="27" w:name="_Toc184197873"/>
      <w:bookmarkStart w:id="28" w:name="_Toc17107622"/>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5 事件记录</w:t>
      </w:r>
      <w:bookmarkEnd w:id="25"/>
      <w:bookmarkEnd w:id="26"/>
      <w:bookmarkEnd w:id="27"/>
      <w:bookmarkEnd w:id="28"/>
      <w:bookmarkStart w:id="29" w:name="_Hlt31533020"/>
      <w:bookmarkEnd w:id="29"/>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记录电表失压、欠压、过压、断相、全失压、电压逆相序、电流逆相序、电压不平衡、电流不平衡、失流、过流、断流、潮流反向、过载、掉电、需量超限、总功率因数超限等事件，记录参数编程、电表清零、需量清零、事件清零、校时、时区时段参数配置、开表盖、开端钮盒等事件。</w:t>
      </w:r>
      <w:bookmarkStart w:id="30" w:name="_Toc175371527"/>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事件记录内容符合电力行业标准《DL/T 645-2007》协议及其备案文件。</w:t>
      </w:r>
    </w:p>
    <w:bookmarkEnd w:id="30"/>
    <w:p>
      <w:pPr>
        <w:pStyle w:val="3"/>
        <w:pageBreakBefore w:val="0"/>
        <w:kinsoku/>
        <w:wordWrap/>
        <w:overflowPunct/>
        <w:topLinePunct w:val="0"/>
        <w:bidi w:val="0"/>
        <w:spacing w:line="300" w:lineRule="exact"/>
        <w:textAlignment w:val="auto"/>
        <w:rPr>
          <w:rFonts w:hint="eastAsia" w:ascii="宋体" w:hAnsi="宋体" w:eastAsia="宋体" w:cs="宋体"/>
          <w:b w:val="0"/>
          <w:bCs/>
          <w:sz w:val="24"/>
          <w:szCs w:val="24"/>
        </w:rPr>
      </w:pPr>
      <w:bookmarkStart w:id="31" w:name="_Toc294272248"/>
      <w:bookmarkStart w:id="32" w:name="_Toc247021159"/>
      <w:bookmarkStart w:id="33" w:name="_Toc184197874"/>
      <w:bookmarkStart w:id="34" w:name="_Toc17107624"/>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6 负荷曲线</w:t>
      </w:r>
      <w:bookmarkEnd w:id="31"/>
      <w:bookmarkEnd w:id="32"/>
      <w:bookmarkEnd w:id="33"/>
      <w:bookmarkEnd w:id="34"/>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负荷记录内容可以从“电压、电流、频率”、“有、无功功率”、“功率因数”、“有、无功总电能”、“四象限无功总电能”、“当前需量”六类数据项中任意组合选择。</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负荷记录间隔时间可设置，每类负荷间隔时间可以相同，也可以不同。</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负荷记录数据带有时标。</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负荷记录存储空间保证在记录“有、无功总电能”、“四象限无功总电能”，时间间隔为1分钟的情况下可记录不少于40天的数据容量。</w:t>
      </w:r>
    </w:p>
    <w:p>
      <w:pPr>
        <w:pStyle w:val="3"/>
        <w:pageBreakBefore w:val="0"/>
        <w:kinsoku/>
        <w:wordWrap/>
        <w:overflowPunct/>
        <w:topLinePunct w:val="0"/>
        <w:bidi w:val="0"/>
        <w:spacing w:line="300" w:lineRule="exact"/>
        <w:textAlignment w:val="auto"/>
        <w:rPr>
          <w:rFonts w:hint="eastAsia" w:ascii="宋体" w:hAnsi="宋体" w:eastAsia="宋体" w:cs="宋体"/>
          <w:b w:val="0"/>
          <w:bCs/>
          <w:sz w:val="24"/>
          <w:szCs w:val="24"/>
        </w:rPr>
      </w:pPr>
      <w:bookmarkStart w:id="35" w:name="_Toc17107625"/>
      <w:bookmarkStart w:id="36" w:name="_Toc184197875"/>
      <w:bookmarkStart w:id="37" w:name="_Toc247021160"/>
      <w:bookmarkStart w:id="38" w:name="_Toc294272249"/>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7 数据冻结</w:t>
      </w:r>
      <w:bookmarkEnd w:id="35"/>
      <w:bookmarkEnd w:id="36"/>
      <w:bookmarkEnd w:id="37"/>
      <w:bookmarkEnd w:id="38"/>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数据冻结方式分定时冻结、瞬时冻结、日冻结、约定冻结、整点冻结。</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每种方式冻结均可通过相应的冻结数据模式字选择数据类型进行冻结，可选择正向有功电能、反向有功电能、组合无功1电能、组合无功2电能、四象限无功电能、正向有功最大需量及时间、反向有功最大需量及时间、变量等。</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定时冻结：配置定时冻结时刻，以月或日或小时为周期进行冻结，可保存最近60次的冻结数据。</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瞬时冻结：在非正常情况下，下发瞬时冻结命令进行瞬时冻结，可保存最近3次的冻结数据。</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日冻结：配置日冻结时刻，可保存最近2个月的冻结数据。</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约定冻结：在两套时区表切换、两套日时段表切换、或电力公司认为有特殊需要时，冻结转换时刻的电能量以及其他重要数据，可保存最近2次切换冻结数据。</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整点冻结：配置整点冻结起始时间、冻结间隔时间，可保存最近254个冻结数据。</w:t>
      </w:r>
    </w:p>
    <w:p>
      <w:pPr>
        <w:pStyle w:val="3"/>
        <w:pageBreakBefore w:val="0"/>
        <w:kinsoku/>
        <w:wordWrap/>
        <w:overflowPunct/>
        <w:topLinePunct w:val="0"/>
        <w:bidi w:val="0"/>
        <w:spacing w:line="300" w:lineRule="exact"/>
        <w:textAlignment w:val="auto"/>
        <w:rPr>
          <w:rFonts w:hint="eastAsia" w:ascii="宋体" w:hAnsi="宋体" w:eastAsia="宋体" w:cs="宋体"/>
          <w:b w:val="0"/>
          <w:bCs/>
          <w:sz w:val="24"/>
          <w:szCs w:val="24"/>
        </w:rPr>
      </w:pPr>
      <w:bookmarkStart w:id="39" w:name="_Toc184197876"/>
      <w:bookmarkStart w:id="40" w:name="_Toc17107626"/>
      <w:bookmarkStart w:id="41" w:name="_Toc247021161"/>
      <w:bookmarkStart w:id="42" w:name="_Toc294272250"/>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8 电压</w:t>
      </w:r>
      <w:bookmarkEnd w:id="39"/>
      <w:bookmarkEnd w:id="40"/>
      <w:r>
        <w:rPr>
          <w:rFonts w:hint="eastAsia" w:ascii="宋体" w:hAnsi="宋体" w:eastAsia="宋体" w:cs="宋体"/>
          <w:b w:val="0"/>
          <w:bCs/>
          <w:sz w:val="24"/>
          <w:szCs w:val="24"/>
        </w:rPr>
        <w:t>统计</w:t>
      </w:r>
      <w:bookmarkEnd w:id="41"/>
      <w:bookmarkEnd w:id="42"/>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记录三相电压及分相电压的最高电压及出现时间、最低电压及出现时间，统计电压监测时间、超上限时间、超下限时间，电压合格率、电压超限率。</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可连续记录统计最近12个结算日的电压合格率统计数据。</w:t>
      </w:r>
    </w:p>
    <w:p>
      <w:pPr>
        <w:pStyle w:val="3"/>
        <w:pageBreakBefore w:val="0"/>
        <w:kinsoku/>
        <w:wordWrap/>
        <w:overflowPunct/>
        <w:topLinePunct w:val="0"/>
        <w:bidi w:val="0"/>
        <w:spacing w:line="300" w:lineRule="exact"/>
        <w:textAlignment w:val="auto"/>
        <w:rPr>
          <w:rFonts w:hint="eastAsia" w:ascii="宋体" w:hAnsi="宋体" w:eastAsia="宋体" w:cs="宋体"/>
          <w:b w:val="0"/>
          <w:bCs/>
          <w:sz w:val="24"/>
          <w:szCs w:val="24"/>
        </w:rPr>
      </w:pPr>
      <w:bookmarkStart w:id="43" w:name="_Toc247021162"/>
      <w:bookmarkStart w:id="44" w:name="_Toc294272251"/>
      <w:bookmarkStart w:id="45" w:name="_Toc25576937"/>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9 谐波分析</w:t>
      </w:r>
      <w:bookmarkEnd w:id="43"/>
      <w:bookmarkEnd w:id="44"/>
      <w:bookmarkEnd w:id="45"/>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可测量三相电压、三相电流波形失真度及32次以内的谐波含量。</w:t>
      </w:r>
    </w:p>
    <w:p>
      <w:pPr>
        <w:pStyle w:val="3"/>
        <w:pageBreakBefore w:val="0"/>
        <w:kinsoku/>
        <w:wordWrap/>
        <w:overflowPunct/>
        <w:topLinePunct w:val="0"/>
        <w:bidi w:val="0"/>
        <w:spacing w:line="300" w:lineRule="exact"/>
        <w:textAlignment w:val="auto"/>
        <w:rPr>
          <w:rFonts w:hint="eastAsia" w:ascii="宋体" w:hAnsi="宋体" w:eastAsia="宋体" w:cs="宋体"/>
          <w:b w:val="0"/>
          <w:bCs/>
          <w:sz w:val="24"/>
          <w:szCs w:val="24"/>
        </w:rPr>
      </w:pPr>
      <w:bookmarkStart w:id="46" w:name="_Toc184197877"/>
      <w:bookmarkStart w:id="47" w:name="_Toc247021163"/>
      <w:bookmarkStart w:id="48" w:name="_Toc294272252"/>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10 通讯</w:t>
      </w:r>
      <w:bookmarkEnd w:id="46"/>
      <w:bookmarkEnd w:id="47"/>
      <w:bookmarkEnd w:id="48"/>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电能表具有1个红外通信接口、2个RS485通信接口。各通信口在物理层相互独立，一种通信信道的损坏不影响另一信道。另外，通信接口和电能表内部电路实行电气隔离，有失效保护电路。</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kern w:val="21"/>
          <w:sz w:val="24"/>
          <w:szCs w:val="24"/>
        </w:rPr>
      </w:pPr>
      <w:bookmarkStart w:id="49" w:name="_Toc17107623"/>
      <w:bookmarkStart w:id="50" w:name="_Toc184197878"/>
      <w:bookmarkStart w:id="51" w:name="_Toc25576932"/>
      <w:bookmarkStart w:id="52" w:name="_Toc247021164"/>
      <w:r>
        <w:rPr>
          <w:rFonts w:hint="eastAsia" w:ascii="宋体" w:hAnsi="宋体" w:eastAsia="宋体" w:cs="宋体"/>
          <w:kern w:val="21"/>
          <w:sz w:val="24"/>
          <w:szCs w:val="24"/>
        </w:rPr>
        <w:t>通信波特率可设置，标准速率为1200bps、2400bps、4800bps、9600bps；RS485接口的缺省波特率为2400bps；调制式红外通信接口的缺省波特率为1200bps。</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kern w:val="21"/>
          <w:sz w:val="24"/>
          <w:szCs w:val="24"/>
        </w:rPr>
      </w:pPr>
      <w:r>
        <w:rPr>
          <w:rFonts w:hint="eastAsia" w:ascii="宋体" w:hAnsi="宋体" w:eastAsia="宋体" w:cs="宋体"/>
          <w:kern w:val="21"/>
          <w:sz w:val="24"/>
          <w:szCs w:val="24"/>
        </w:rPr>
        <w:t>电能表通信协议符合DL/T645-2007及其备案文件要求。</w:t>
      </w:r>
    </w:p>
    <w:p>
      <w:pPr>
        <w:pStyle w:val="3"/>
        <w:pageBreakBefore w:val="0"/>
        <w:kinsoku/>
        <w:wordWrap/>
        <w:overflowPunct/>
        <w:topLinePunct w:val="0"/>
        <w:bidi w:val="0"/>
        <w:spacing w:line="300" w:lineRule="exact"/>
        <w:textAlignment w:val="auto"/>
        <w:rPr>
          <w:rFonts w:hint="eastAsia" w:ascii="宋体" w:hAnsi="宋体" w:eastAsia="宋体" w:cs="宋体"/>
          <w:b w:val="0"/>
          <w:sz w:val="24"/>
          <w:szCs w:val="24"/>
        </w:rPr>
      </w:pPr>
      <w:bookmarkStart w:id="53" w:name="_Toc294272253"/>
      <w:r>
        <w:rPr>
          <w:rFonts w:hint="eastAsia" w:ascii="宋体" w:hAnsi="宋体" w:eastAsia="宋体" w:cs="宋体"/>
          <w:b w:val="0"/>
          <w:sz w:val="24"/>
          <w:szCs w:val="24"/>
        </w:rPr>
        <w:t>2.</w:t>
      </w:r>
      <w:r>
        <w:rPr>
          <w:rFonts w:hint="eastAsia" w:ascii="宋体" w:hAnsi="宋体" w:eastAsia="宋体" w:cs="宋体"/>
          <w:b w:val="0"/>
          <w:sz w:val="24"/>
          <w:szCs w:val="24"/>
          <w:lang w:val="en-US" w:eastAsia="zh-CN"/>
        </w:rPr>
        <w:t>2.</w:t>
      </w:r>
      <w:r>
        <w:rPr>
          <w:rFonts w:hint="eastAsia" w:ascii="宋体" w:hAnsi="宋体" w:eastAsia="宋体" w:cs="宋体"/>
          <w:b w:val="0"/>
          <w:sz w:val="24"/>
          <w:szCs w:val="24"/>
        </w:rPr>
        <w:t>11 停电抄表</w:t>
      </w:r>
      <w:bookmarkEnd w:id="49"/>
      <w:bookmarkEnd w:id="50"/>
      <w:bookmarkEnd w:id="51"/>
      <w:bookmarkEnd w:id="52"/>
      <w:bookmarkEnd w:id="53"/>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停电后,可以通过按键唤醒电表抄表，也可以通过红外通讯口唤醒电表，以便用抄表器抄表。电能表被唤醒后如没有按键操作，自动循环显示一遍后关闭液晶显示，若有按键操作，则按键操作30秒后关闭液晶显示。</w:t>
      </w:r>
    </w:p>
    <w:p>
      <w:pPr>
        <w:pStyle w:val="3"/>
        <w:pageBreakBefore w:val="0"/>
        <w:kinsoku/>
        <w:wordWrap/>
        <w:overflowPunct/>
        <w:topLinePunct w:val="0"/>
        <w:bidi w:val="0"/>
        <w:spacing w:line="300" w:lineRule="exact"/>
        <w:textAlignment w:val="auto"/>
        <w:rPr>
          <w:rFonts w:hint="eastAsia" w:ascii="宋体" w:hAnsi="宋体" w:eastAsia="宋体" w:cs="宋体"/>
          <w:b w:val="0"/>
          <w:sz w:val="24"/>
          <w:szCs w:val="24"/>
        </w:rPr>
      </w:pPr>
      <w:bookmarkStart w:id="54" w:name="_Toc17107628"/>
      <w:bookmarkStart w:id="55" w:name="_Toc184197880"/>
      <w:bookmarkStart w:id="56" w:name="_Toc247021165"/>
      <w:bookmarkStart w:id="57" w:name="_Toc294272254"/>
      <w:r>
        <w:rPr>
          <w:rFonts w:hint="eastAsia" w:ascii="宋体" w:hAnsi="宋体" w:eastAsia="宋体" w:cs="宋体"/>
          <w:b w:val="0"/>
          <w:sz w:val="24"/>
          <w:szCs w:val="24"/>
        </w:rPr>
        <w:t>2.</w:t>
      </w:r>
      <w:r>
        <w:rPr>
          <w:rFonts w:hint="eastAsia" w:ascii="宋体" w:hAnsi="宋体" w:eastAsia="宋体" w:cs="宋体"/>
          <w:b w:val="0"/>
          <w:sz w:val="24"/>
          <w:szCs w:val="24"/>
          <w:lang w:val="en-US" w:eastAsia="zh-CN"/>
        </w:rPr>
        <w:t>2.</w:t>
      </w:r>
      <w:r>
        <w:rPr>
          <w:rFonts w:hint="eastAsia" w:ascii="宋体" w:hAnsi="宋体" w:eastAsia="宋体" w:cs="宋体"/>
          <w:b w:val="0"/>
          <w:sz w:val="24"/>
          <w:szCs w:val="24"/>
        </w:rPr>
        <w:t>12 LED指示、脉冲信号输出</w:t>
      </w:r>
      <w:bookmarkEnd w:id="54"/>
      <w:bookmarkEnd w:id="55"/>
      <w:bookmarkEnd w:id="56"/>
      <w:bookmarkEnd w:id="57"/>
    </w:p>
    <w:p>
      <w:pPr>
        <w:pageBreakBefore w:val="0"/>
        <w:kinsoku/>
        <w:wordWrap/>
        <w:overflowPunct/>
        <w:topLinePunct w:val="0"/>
        <w:bidi w:val="0"/>
        <w:spacing w:line="300" w:lineRule="exact"/>
        <w:ind w:right="249"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电表面板上装有3个LED指示灯：有功功率脉冲、无功功率脉冲、报警指示。功率脉冲常数与电表规格有关，具体数值见电表铭牌。</w:t>
      </w:r>
    </w:p>
    <w:p>
      <w:pPr>
        <w:pageBreakBefore w:val="0"/>
        <w:kinsoku/>
        <w:wordWrap/>
        <w:overflowPunct/>
        <w:topLinePunct w:val="0"/>
        <w:bidi w:val="0"/>
        <w:spacing w:line="300" w:lineRule="exact"/>
        <w:ind w:right="249"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电表辅助端子配有有功校表脉冲信号、无功校表脉冲信号、多功能测试信号、报警信号。</w:t>
      </w:r>
    </w:p>
    <w:p>
      <w:pPr>
        <w:pStyle w:val="3"/>
        <w:pageBreakBefore w:val="0"/>
        <w:kinsoku/>
        <w:wordWrap/>
        <w:overflowPunct/>
        <w:topLinePunct w:val="0"/>
        <w:bidi w:val="0"/>
        <w:spacing w:line="300" w:lineRule="exact"/>
        <w:textAlignment w:val="auto"/>
        <w:rPr>
          <w:rFonts w:hint="eastAsia" w:ascii="宋体" w:hAnsi="宋体" w:eastAsia="宋体" w:cs="宋体"/>
          <w:b w:val="0"/>
          <w:sz w:val="24"/>
          <w:szCs w:val="24"/>
        </w:rPr>
      </w:pPr>
      <w:bookmarkStart w:id="58" w:name="_Toc247021166"/>
      <w:bookmarkStart w:id="59" w:name="_Toc294272255"/>
      <w:r>
        <w:rPr>
          <w:rFonts w:hint="eastAsia" w:ascii="宋体" w:hAnsi="宋体" w:eastAsia="宋体" w:cs="宋体"/>
          <w:b w:val="0"/>
          <w:sz w:val="24"/>
          <w:szCs w:val="24"/>
        </w:rPr>
        <w:t>2.</w:t>
      </w:r>
      <w:r>
        <w:rPr>
          <w:rFonts w:hint="eastAsia" w:ascii="宋体" w:hAnsi="宋体" w:eastAsia="宋体" w:cs="宋体"/>
          <w:b w:val="0"/>
          <w:sz w:val="24"/>
          <w:szCs w:val="24"/>
          <w:lang w:val="en-US" w:eastAsia="zh-CN"/>
        </w:rPr>
        <w:t>2.</w:t>
      </w:r>
      <w:r>
        <w:rPr>
          <w:rFonts w:hint="eastAsia" w:ascii="宋体" w:hAnsi="宋体" w:eastAsia="宋体" w:cs="宋体"/>
          <w:b w:val="0"/>
          <w:sz w:val="24"/>
          <w:szCs w:val="24"/>
        </w:rPr>
        <w:t>13 多功能测试接口</w:t>
      </w:r>
      <w:bookmarkEnd w:id="58"/>
      <w:bookmarkEnd w:id="59"/>
    </w:p>
    <w:p>
      <w:pPr>
        <w:pageBreakBefore w:val="0"/>
        <w:kinsoku/>
        <w:wordWrap/>
        <w:overflowPunct/>
        <w:topLinePunct w:val="0"/>
        <w:autoSpaceDE w:val="0"/>
        <w:autoSpaceDN w:val="0"/>
        <w:bidi w:val="0"/>
        <w:adjustRightInd w:val="0"/>
        <w:spacing w:line="3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电能表辅助端子的多功能测试接口可输出日计时误差检测信号、时段投切信号、需量周期信号。三个输出信号使用同一输出接口，并可通过编程设置进行切换。电能表断电后再次上电，多功能测试接口输出信号默认为日计时误差检测信号。</w:t>
      </w:r>
    </w:p>
    <w:p>
      <w:pPr>
        <w:pStyle w:val="3"/>
        <w:pageBreakBefore w:val="0"/>
        <w:kinsoku/>
        <w:wordWrap/>
        <w:overflowPunct/>
        <w:topLinePunct w:val="0"/>
        <w:bidi w:val="0"/>
        <w:spacing w:line="300" w:lineRule="exact"/>
        <w:textAlignment w:val="auto"/>
        <w:rPr>
          <w:rFonts w:hint="eastAsia" w:ascii="宋体" w:hAnsi="宋体" w:eastAsia="宋体" w:cs="宋体"/>
          <w:b w:val="0"/>
          <w:sz w:val="24"/>
          <w:szCs w:val="24"/>
        </w:rPr>
      </w:pPr>
      <w:bookmarkStart w:id="60" w:name="_Hlt30836418"/>
      <w:bookmarkEnd w:id="60"/>
      <w:bookmarkStart w:id="61" w:name="_Toc294272256"/>
      <w:bookmarkStart w:id="62" w:name="_Toc184197881"/>
      <w:bookmarkStart w:id="63" w:name="_Toc247021167"/>
      <w:r>
        <w:rPr>
          <w:rFonts w:hint="eastAsia" w:ascii="宋体" w:hAnsi="宋体" w:eastAsia="宋体" w:cs="宋体"/>
          <w:b w:val="0"/>
          <w:sz w:val="24"/>
          <w:szCs w:val="24"/>
        </w:rPr>
        <w:t>2.</w:t>
      </w:r>
      <w:r>
        <w:rPr>
          <w:rFonts w:hint="eastAsia" w:ascii="宋体" w:hAnsi="宋体" w:eastAsia="宋体" w:cs="宋体"/>
          <w:b w:val="0"/>
          <w:sz w:val="24"/>
          <w:szCs w:val="24"/>
          <w:lang w:val="en-US" w:eastAsia="zh-CN"/>
        </w:rPr>
        <w:t>2.</w:t>
      </w:r>
      <w:r>
        <w:rPr>
          <w:rFonts w:hint="eastAsia" w:ascii="宋体" w:hAnsi="宋体" w:eastAsia="宋体" w:cs="宋体"/>
          <w:b w:val="0"/>
          <w:sz w:val="24"/>
          <w:szCs w:val="24"/>
        </w:rPr>
        <w:t>14 电表休眠</w:t>
      </w:r>
      <w:bookmarkEnd w:id="61"/>
      <w:bookmarkEnd w:id="62"/>
      <w:bookmarkEnd w:id="63"/>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当外部电源断电后，电表由内部电池供电保持不间断工作，同时电表为降低电池功耗，自动转入休眠状态；当外部电源恢复供电时，电表退出休眠方式。休眠方式下，可通过红外或按键唤醒。</w:t>
      </w:r>
    </w:p>
    <w:p>
      <w:pPr>
        <w:pStyle w:val="3"/>
        <w:pageBreakBefore w:val="0"/>
        <w:kinsoku/>
        <w:wordWrap/>
        <w:overflowPunct/>
        <w:topLinePunct w:val="0"/>
        <w:bidi w:val="0"/>
        <w:spacing w:line="300" w:lineRule="exact"/>
        <w:textAlignment w:val="auto"/>
        <w:rPr>
          <w:rFonts w:hint="eastAsia" w:ascii="宋体" w:hAnsi="宋体" w:eastAsia="宋体" w:cs="宋体"/>
          <w:b w:val="0"/>
          <w:sz w:val="24"/>
          <w:szCs w:val="24"/>
        </w:rPr>
      </w:pPr>
      <w:bookmarkStart w:id="64" w:name="_Toc294272257"/>
      <w:bookmarkStart w:id="65" w:name="_Toc247021168"/>
      <w:r>
        <w:rPr>
          <w:rFonts w:hint="eastAsia" w:ascii="宋体" w:hAnsi="宋体" w:eastAsia="宋体" w:cs="宋体"/>
          <w:b w:val="0"/>
          <w:sz w:val="24"/>
          <w:szCs w:val="24"/>
        </w:rPr>
        <w:t>2.</w:t>
      </w:r>
      <w:r>
        <w:rPr>
          <w:rFonts w:hint="eastAsia" w:ascii="宋体" w:hAnsi="宋体" w:eastAsia="宋体" w:cs="宋体"/>
          <w:b w:val="0"/>
          <w:sz w:val="24"/>
          <w:szCs w:val="24"/>
          <w:lang w:val="en-US" w:eastAsia="zh-CN"/>
        </w:rPr>
        <w:t>2.</w:t>
      </w:r>
      <w:r>
        <w:rPr>
          <w:rFonts w:hint="eastAsia" w:ascii="宋体" w:hAnsi="宋体" w:eastAsia="宋体" w:cs="宋体"/>
          <w:b w:val="0"/>
          <w:sz w:val="24"/>
          <w:szCs w:val="24"/>
        </w:rPr>
        <w:t>15 报警输出接口</w:t>
      </w:r>
      <w:bookmarkEnd w:id="64"/>
      <w:bookmarkEnd w:id="65"/>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具有报警输出接点。</w:t>
      </w:r>
    </w:p>
    <w:p>
      <w:pPr>
        <w:pStyle w:val="3"/>
        <w:pageBreakBefore w:val="0"/>
        <w:kinsoku/>
        <w:wordWrap/>
        <w:overflowPunct/>
        <w:topLinePunct w:val="0"/>
        <w:bidi w:val="0"/>
        <w:spacing w:line="300" w:lineRule="exact"/>
        <w:textAlignment w:val="auto"/>
        <w:rPr>
          <w:rFonts w:hint="eastAsia" w:ascii="宋体" w:hAnsi="宋体" w:eastAsia="宋体" w:cs="宋体"/>
          <w:b w:val="0"/>
          <w:sz w:val="24"/>
          <w:szCs w:val="24"/>
        </w:rPr>
      </w:pPr>
      <w:bookmarkStart w:id="66" w:name="_Toc294272258"/>
      <w:bookmarkStart w:id="67" w:name="_Toc247021169"/>
      <w:bookmarkStart w:id="68" w:name="_Toc239930900"/>
      <w:r>
        <w:rPr>
          <w:rFonts w:hint="eastAsia" w:ascii="宋体" w:hAnsi="宋体" w:eastAsia="宋体" w:cs="宋体"/>
          <w:b w:val="0"/>
          <w:sz w:val="24"/>
          <w:szCs w:val="24"/>
        </w:rPr>
        <w:t>2.</w:t>
      </w:r>
      <w:r>
        <w:rPr>
          <w:rFonts w:hint="eastAsia" w:ascii="宋体" w:hAnsi="宋体" w:eastAsia="宋体" w:cs="宋体"/>
          <w:b w:val="0"/>
          <w:sz w:val="24"/>
          <w:szCs w:val="24"/>
          <w:lang w:val="en-US" w:eastAsia="zh-CN"/>
        </w:rPr>
        <w:t>2.</w:t>
      </w:r>
      <w:r>
        <w:rPr>
          <w:rFonts w:hint="eastAsia" w:ascii="宋体" w:hAnsi="宋体" w:eastAsia="宋体" w:cs="宋体"/>
          <w:b w:val="0"/>
          <w:sz w:val="24"/>
          <w:szCs w:val="24"/>
        </w:rPr>
        <w:t>16 电源供电方式</w:t>
      </w:r>
      <w:bookmarkEnd w:id="66"/>
      <w:bookmarkEnd w:id="67"/>
      <w:bookmarkEnd w:id="68"/>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电能表供电有2种方式：线路供电、线路和辅助电源（AD/DC自适应）供电，具体采用哪种方式以实际发货实物为准。</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线路供电：电能表电源由线路供电；电能表具备带隔离的多路输出电源，分别提供给表内部测量与数据处理单元、通信单元使用。对于三相四线电能表，当电能表三相电压中有任两相断相后，电能表能正常工作；对于三相三线电能表，当电能表三相电压中有任一相断相后，电能表能正常工作。</w:t>
      </w:r>
    </w:p>
    <w:p>
      <w:pPr>
        <w:pageBreakBefore w:val="0"/>
        <w:kinsoku/>
        <w:wordWrap/>
        <w:overflowPunct/>
        <w:topLinePunct w:val="0"/>
        <w:bidi w:val="0"/>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线路和辅助电源（AD/DC自适应）供电：电能表电源由线路和辅助电源(AC/DC自适应)供电，两种供电方式相互独立，互不影响；并可不间断自动转换，且辅助电源供电方式优先。对于三相四线电能表，当电能表三相电压中有任两相断相后，电能表仍能正常工作；对于三相三线电能表，当电能表三相电压中有任一相断相后，电能表仍能正常工作。电能表配置有辅助电源接线端子，辅助电源供电电压为100～240V交、直流自适应。</w:t>
      </w:r>
      <w:bookmarkStart w:id="69" w:name="_Hlt61322454"/>
      <w:bookmarkEnd w:id="69"/>
      <w:bookmarkStart w:id="70" w:name="_Hlt30826254"/>
      <w:bookmarkEnd w:id="70"/>
    </w:p>
    <w:p>
      <w:pPr>
        <w:pageBreakBefore w:val="0"/>
        <w:kinsoku/>
        <w:wordWrap/>
        <w:overflowPunct/>
        <w:topLinePunct w:val="0"/>
        <w:bidi w:val="0"/>
        <w:spacing w:line="300" w:lineRule="exact"/>
        <w:ind w:firstLine="482" w:firstLineChars="200"/>
        <w:textAlignment w:val="auto"/>
        <w:rPr>
          <w:rFonts w:hint="eastAsia" w:ascii="宋体" w:hAnsi="宋体" w:eastAsia="宋体" w:cs="宋体"/>
          <w:sz w:val="24"/>
          <w:szCs w:val="24"/>
          <w:lang w:val="en-US" w:eastAsia="zh-CN"/>
        </w:rPr>
      </w:pPr>
      <w:r>
        <w:rPr>
          <w:rFonts w:hint="eastAsia" w:ascii="宋体" w:hAnsi="宋体" w:cs="宋体"/>
          <w:b/>
          <w:bCs/>
          <w:sz w:val="24"/>
          <w:szCs w:val="24"/>
          <w:lang w:val="en-US" w:eastAsia="zh-CN"/>
        </w:rPr>
        <w:t>供应商提供货物品牌及规格型号必须满足供电公司要求，能通过供电公司验收。</w:t>
      </w:r>
    </w:p>
    <w:p>
      <w:pPr>
        <w:snapToGrid w:val="0"/>
        <w:spacing w:line="400" w:lineRule="exact"/>
        <w:rPr>
          <w:rFonts w:hint="eastAsia" w:ascii="仿宋" w:hAnsi="仿宋" w:eastAsia="仿宋"/>
          <w:sz w:val="28"/>
          <w:szCs w:val="28"/>
          <w:lang w:val="zh-TW"/>
        </w:rPr>
      </w:pPr>
    </w:p>
    <w:p>
      <w:pPr>
        <w:snapToGrid w:val="0"/>
        <w:spacing w:line="400" w:lineRule="exact"/>
        <w:rPr>
          <w:rFonts w:hint="eastAsia" w:ascii="仿宋" w:hAnsi="仿宋" w:eastAsia="仿宋"/>
          <w:sz w:val="28"/>
          <w:szCs w:val="28"/>
          <w:lang w:val="zh-TW"/>
        </w:rPr>
      </w:pPr>
      <w:r>
        <w:rPr>
          <w:rFonts w:hint="eastAsia" w:ascii="仿宋" w:hAnsi="仿宋" w:eastAsia="仿宋"/>
          <w:sz w:val="28"/>
          <w:szCs w:val="28"/>
          <w:lang w:val="zh-TW"/>
        </w:rPr>
        <w:t xml:space="preserve"> </w:t>
      </w:r>
    </w:p>
    <w:p>
      <w:pPr>
        <w:snapToGrid w:val="0"/>
        <w:spacing w:line="400" w:lineRule="exact"/>
        <w:rPr>
          <w:rFonts w:ascii="仿宋" w:hAnsi="仿宋" w:eastAsia="仿宋"/>
          <w:sz w:val="28"/>
          <w:szCs w:val="28"/>
          <w:lang w:val="zh-TW"/>
        </w:rPr>
      </w:pPr>
      <w:r>
        <w:rPr>
          <w:rFonts w:hint="eastAsia" w:ascii="仿宋" w:hAnsi="仿宋" w:eastAsia="仿宋"/>
          <w:sz w:val="28"/>
          <w:szCs w:val="28"/>
          <w:lang w:val="zh-TW"/>
        </w:rPr>
        <w:t xml:space="preserve"> 二、商务需求</w:t>
      </w:r>
    </w:p>
    <w:p>
      <w:pPr>
        <w:snapToGrid w:val="0"/>
        <w:spacing w:line="440" w:lineRule="exact"/>
        <w:ind w:firstLine="560" w:firstLineChars="200"/>
        <w:rPr>
          <w:rFonts w:hint="eastAsia" w:ascii="仿宋" w:hAnsi="仿宋" w:eastAsia="仿宋"/>
          <w:sz w:val="28"/>
          <w:szCs w:val="28"/>
          <w:highlight w:val="none"/>
          <w:lang w:val="zh-TW"/>
        </w:rPr>
      </w:pPr>
      <w:r>
        <w:rPr>
          <w:rFonts w:hint="eastAsia" w:ascii="仿宋" w:hAnsi="仿宋" w:eastAsia="仿宋"/>
          <w:sz w:val="28"/>
          <w:szCs w:val="28"/>
          <w:highlight w:val="none"/>
          <w:lang w:val="zh-TW"/>
        </w:rPr>
        <w:t>（1）验收标准：依据《建筑工程施工质量验收统一标准)，使用进场材料提供合格证，检验报告等。本工程质量为合格。供货商提供有关资质等。材料入场前监理现场验收。必须能通过供电公司验收。</w:t>
      </w:r>
    </w:p>
    <w:p>
      <w:pPr>
        <w:snapToGrid w:val="0"/>
        <w:spacing w:line="440" w:lineRule="exact"/>
        <w:ind w:firstLine="560" w:firstLineChars="200"/>
        <w:rPr>
          <w:rFonts w:hint="eastAsia" w:ascii="仿宋" w:hAnsi="仿宋" w:eastAsia="仿宋"/>
          <w:sz w:val="28"/>
          <w:szCs w:val="28"/>
          <w:highlight w:val="none"/>
          <w:lang w:val="zh-TW"/>
        </w:rPr>
      </w:pPr>
      <w:r>
        <w:rPr>
          <w:rFonts w:hint="eastAsia" w:ascii="仿宋" w:hAnsi="仿宋" w:eastAsia="仿宋"/>
          <w:sz w:val="28"/>
          <w:szCs w:val="28"/>
          <w:highlight w:val="none"/>
          <w:lang w:val="zh-TW"/>
        </w:rPr>
        <w:t>（2）质保期：依据《建设工程质量管理条例》要求。质量保修两年。</w:t>
      </w:r>
    </w:p>
    <w:p>
      <w:pPr>
        <w:snapToGrid w:val="0"/>
        <w:spacing w:line="440" w:lineRule="exact"/>
        <w:ind w:firstLine="560" w:firstLineChars="200"/>
        <w:rPr>
          <w:rFonts w:hint="eastAsia" w:ascii="仿宋" w:hAnsi="仿宋" w:eastAsia="仿宋"/>
          <w:sz w:val="28"/>
          <w:szCs w:val="28"/>
          <w:highlight w:val="none"/>
          <w:lang w:val="zh-TW"/>
        </w:rPr>
      </w:pPr>
      <w:r>
        <w:rPr>
          <w:rFonts w:hint="eastAsia" w:ascii="仿宋" w:hAnsi="仿宋" w:eastAsia="仿宋"/>
          <w:sz w:val="28"/>
          <w:szCs w:val="28"/>
          <w:highlight w:val="none"/>
          <w:lang w:val="zh-TW"/>
        </w:rPr>
        <w:t>（3）付款方式：合同签订，待工程竣工验收资料交付，支付货款的95%，预留5%质量保修款。质量保修款待工程质保期满验收合格后一次性支付。</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w:t>
      </w:r>
      <w:r>
        <w:rPr>
          <w:rFonts w:hint="eastAsia" w:ascii="仿宋" w:hAnsi="仿宋" w:eastAsia="仿宋"/>
          <w:sz w:val="28"/>
          <w:szCs w:val="28"/>
          <w:highlight w:val="none"/>
          <w:lang w:val="en-US" w:eastAsia="zh-CN"/>
        </w:rPr>
        <w:t>4</w:t>
      </w:r>
      <w:r>
        <w:rPr>
          <w:rFonts w:hint="eastAsia" w:ascii="仿宋" w:hAnsi="仿宋" w:eastAsia="仿宋"/>
          <w:sz w:val="28"/>
          <w:szCs w:val="28"/>
          <w:highlight w:val="none"/>
          <w:lang w:val="zh-TW"/>
        </w:rPr>
        <w:t>）</w:t>
      </w:r>
      <w:r>
        <w:rPr>
          <w:rFonts w:hint="eastAsia" w:ascii="仿宋" w:hAnsi="仿宋" w:eastAsia="仿宋"/>
          <w:sz w:val="28"/>
          <w:szCs w:val="28"/>
          <w:highlight w:val="none"/>
          <w:lang w:val="zh-TW" w:eastAsia="zh-TW"/>
        </w:rPr>
        <w:t>售后服务：</w:t>
      </w:r>
      <w:r>
        <w:rPr>
          <w:rFonts w:hint="eastAsia" w:ascii="仿宋" w:hAnsi="仿宋" w:eastAsia="仿宋"/>
          <w:sz w:val="28"/>
          <w:szCs w:val="28"/>
          <w:highlight w:val="none"/>
        </w:rPr>
        <w:t>保修</w:t>
      </w:r>
      <w:r>
        <w:rPr>
          <w:rFonts w:hint="eastAsia" w:ascii="仿宋" w:hAnsi="仿宋" w:eastAsia="仿宋"/>
          <w:sz w:val="28"/>
          <w:szCs w:val="28"/>
          <w:highlight w:val="none"/>
          <w:lang w:val="en-US" w:eastAsia="zh-CN"/>
        </w:rPr>
        <w:t>两</w:t>
      </w:r>
      <w:r>
        <w:rPr>
          <w:rFonts w:hint="eastAsia" w:ascii="仿宋" w:hAnsi="仿宋" w:eastAsia="仿宋"/>
          <w:sz w:val="28"/>
          <w:szCs w:val="28"/>
          <w:highlight w:val="none"/>
        </w:rPr>
        <w:t>年</w:t>
      </w:r>
    </w:p>
    <w:p>
      <w:pPr>
        <w:snapToGrid w:val="0"/>
        <w:spacing w:line="440" w:lineRule="exact"/>
        <w:ind w:firstLine="560" w:firstLineChars="200"/>
        <w:rPr>
          <w:rFonts w:ascii="仿宋" w:hAnsi="仿宋" w:eastAsia="仿宋"/>
          <w:sz w:val="28"/>
          <w:szCs w:val="28"/>
          <w:highlight w:val="yellow"/>
        </w:rPr>
      </w:pPr>
      <w:r>
        <w:rPr>
          <w:rFonts w:hint="eastAsia" w:ascii="仿宋" w:hAnsi="仿宋" w:eastAsia="仿宋"/>
          <w:sz w:val="28"/>
          <w:szCs w:val="28"/>
          <w:highlight w:val="none"/>
          <w:lang w:val="zh-TW"/>
        </w:rPr>
        <w:t>（5）</w:t>
      </w:r>
      <w:r>
        <w:rPr>
          <w:rFonts w:hint="eastAsia" w:ascii="仿宋" w:hAnsi="仿宋" w:eastAsia="仿宋"/>
          <w:sz w:val="28"/>
          <w:szCs w:val="28"/>
          <w:highlight w:val="none"/>
          <w:lang w:val="zh-TW" w:eastAsia="zh-TW"/>
        </w:rPr>
        <w:t>交货期：</w:t>
      </w:r>
      <w:r>
        <w:rPr>
          <w:rFonts w:hint="eastAsia" w:ascii="仿宋" w:hAnsi="仿宋" w:eastAsia="仿宋"/>
          <w:sz w:val="28"/>
          <w:szCs w:val="28"/>
          <w:highlight w:val="none"/>
        </w:rPr>
        <w:t>合同签订1</w:t>
      </w:r>
      <w:r>
        <w:rPr>
          <w:rFonts w:hint="eastAsia" w:ascii="仿宋" w:hAnsi="仿宋" w:eastAsia="仿宋"/>
          <w:sz w:val="28"/>
          <w:szCs w:val="28"/>
          <w:highlight w:val="none"/>
          <w:lang w:val="en-US" w:eastAsia="zh-CN"/>
        </w:rPr>
        <w:t>0</w:t>
      </w:r>
      <w:r>
        <w:rPr>
          <w:rFonts w:hint="eastAsia" w:ascii="仿宋" w:hAnsi="仿宋" w:eastAsia="仿宋"/>
          <w:sz w:val="28"/>
          <w:szCs w:val="28"/>
          <w:highlight w:val="none"/>
        </w:rPr>
        <w:t>日内</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（6）</w:t>
      </w:r>
      <w:r>
        <w:rPr>
          <w:rFonts w:hint="eastAsia" w:ascii="仿宋" w:hAnsi="仿宋" w:eastAsia="仿宋"/>
          <w:sz w:val="28"/>
          <w:szCs w:val="28"/>
          <w:highlight w:val="none"/>
          <w:lang w:val="zh-TW" w:eastAsia="zh-TW"/>
        </w:rPr>
        <w:t>交货地点：</w:t>
      </w:r>
      <w:r>
        <w:rPr>
          <w:rFonts w:hint="eastAsia" w:ascii="仿宋" w:hAnsi="仿宋" w:eastAsia="仿宋"/>
          <w:sz w:val="28"/>
          <w:szCs w:val="28"/>
          <w:highlight w:val="none"/>
        </w:rPr>
        <w:t>石河子大学</w:t>
      </w:r>
    </w:p>
    <w:p>
      <w:pPr>
        <w:snapToGrid w:val="0"/>
        <w:spacing w:line="440" w:lineRule="exact"/>
        <w:ind w:firstLine="560" w:firstLineChars="200"/>
        <w:rPr>
          <w:rFonts w:ascii="仿宋" w:hAnsi="仿宋" w:eastAsia="PMingLiU"/>
          <w:sz w:val="28"/>
          <w:szCs w:val="28"/>
          <w:lang w:val="zh-TW" w:eastAsia="zh-TW"/>
        </w:rPr>
      </w:pPr>
      <w:r>
        <w:rPr>
          <w:rFonts w:hint="eastAsia" w:ascii="仿宋" w:hAnsi="仿宋" w:eastAsia="仿宋"/>
          <w:sz w:val="28"/>
          <w:szCs w:val="28"/>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lang w:val="zh-TW" w:eastAsia="zh-TW"/>
        </w:rPr>
      </w:pPr>
    </w:p>
    <w:p>
      <w:pPr>
        <w:snapToGrid w:val="0"/>
        <w:spacing w:line="440" w:lineRule="exact"/>
        <w:ind w:firstLine="280" w:firstLineChars="1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三、技术说明</w:t>
      </w:r>
    </w:p>
    <w:p>
      <w:pPr>
        <w:snapToGrid w:val="0"/>
        <w:spacing w:line="480" w:lineRule="exact"/>
        <w:ind w:firstLine="422" w:firstLineChars="15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2、本项目不接受联合体投标。</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五、询价文件组成：</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六、询价响应报价要求：</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1、由采购人（发包人）提供询价清单，竞标人（承包人）自主报价。</w:t>
      </w:r>
      <w:r>
        <w:rPr>
          <w:rFonts w:asciiTheme="minorEastAsia" w:hAnsiTheme="minorEastAsia" w:eastAsiaTheme="minorEastAsia"/>
          <w:b/>
          <w:sz w:val="28"/>
          <w:szCs w:val="28"/>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4、供应商于</w:t>
      </w:r>
      <w:r>
        <w:rPr>
          <w:rFonts w:hint="eastAsia" w:asciiTheme="minorEastAsia" w:hAnsiTheme="minorEastAsia" w:eastAsiaTheme="minorEastAsia"/>
          <w:sz w:val="28"/>
          <w:szCs w:val="28"/>
          <w:highlight w:val="none"/>
          <w:lang w:val="zh-TW"/>
        </w:rPr>
        <w:t>2020年</w:t>
      </w:r>
      <w:r>
        <w:rPr>
          <w:rFonts w:hint="eastAsia" w:asciiTheme="minorEastAsia" w:hAnsiTheme="minorEastAsia" w:eastAsiaTheme="minorEastAsia"/>
          <w:sz w:val="28"/>
          <w:szCs w:val="28"/>
          <w:highlight w:val="none"/>
          <w:lang w:val="en-US" w:eastAsia="zh-CN"/>
        </w:rPr>
        <w:t>11</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26</w:t>
      </w:r>
      <w:bookmarkStart w:id="71" w:name="_GoBack"/>
      <w:bookmarkEnd w:id="71"/>
      <w:r>
        <w:rPr>
          <w:rFonts w:hint="eastAsia" w:asciiTheme="minorEastAsia" w:hAnsiTheme="minorEastAsia" w:eastAsiaTheme="minorEastAsia"/>
          <w:sz w:val="28"/>
          <w:szCs w:val="28"/>
          <w:highlight w:val="none"/>
          <w:lang w:val="zh-TW"/>
        </w:rPr>
        <w:t>日16：30</w:t>
      </w:r>
      <w:r>
        <w:rPr>
          <w:rFonts w:hint="eastAsia" w:asciiTheme="minorEastAsia" w:hAnsiTheme="minorEastAsia" w:eastAsiaTheme="minorEastAsia"/>
          <w:sz w:val="28"/>
          <w:szCs w:val="28"/>
          <w:lang w:val="zh-TW"/>
        </w:rPr>
        <w:t>时前将盖好公章的投标文件密封送至石河子大学招标与采购管理中心统一采购管理办公室（石河子大学中区行政楼421A室）。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联系人：</w:t>
      </w:r>
      <w:r>
        <w:rPr>
          <w:rFonts w:hint="eastAsia" w:asciiTheme="minorEastAsia" w:hAnsiTheme="minorEastAsia" w:eastAsiaTheme="minorEastAsia"/>
          <w:sz w:val="28"/>
          <w:szCs w:val="28"/>
          <w:highlight w:val="none"/>
          <w:lang w:val="en-US" w:eastAsia="zh-CN"/>
        </w:rPr>
        <w:t xml:space="preserve">何璐   </w:t>
      </w:r>
      <w:r>
        <w:rPr>
          <w:rFonts w:hint="eastAsia" w:asciiTheme="minorEastAsia" w:hAnsiTheme="minorEastAsia" w:eastAsiaTheme="minorEastAsia"/>
          <w:sz w:val="28"/>
          <w:szCs w:val="28"/>
          <w:highlight w:val="none"/>
          <w:lang w:val="zh-TW"/>
        </w:rPr>
        <w:t xml:space="preserve">            联系电话：0993-2058967</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用户单位负责人：单新鲁 </w:t>
      </w:r>
      <w:r>
        <w:rPr>
          <w:rFonts w:eastAsia="PMingLiU" w:asciiTheme="minorEastAsia" w:hAnsiTheme="minorEastAsia"/>
          <w:sz w:val="28"/>
          <w:szCs w:val="28"/>
          <w:highlight w:val="none"/>
          <w:lang w:val="zh-TW" w:eastAsia="zh-TW"/>
        </w:rPr>
        <w:t xml:space="preserve">    </w:t>
      </w:r>
      <w:r>
        <w:rPr>
          <w:rFonts w:hint="eastAsia" w:asciiTheme="minorEastAsia" w:hAnsiTheme="minorEastAsia" w:eastAsiaTheme="minorEastAsia"/>
          <w:sz w:val="28"/>
          <w:szCs w:val="28"/>
          <w:highlight w:val="none"/>
          <w:lang w:val="zh-TW"/>
        </w:rPr>
        <w:t>联系电话：</w:t>
      </w:r>
      <w:r>
        <w:rPr>
          <w:rFonts w:hint="eastAsia" w:asciiTheme="minorEastAsia" w:hAnsiTheme="minorEastAsia" w:eastAsiaTheme="minorEastAsia"/>
          <w:sz w:val="28"/>
          <w:szCs w:val="28"/>
          <w:highlight w:val="none"/>
          <w:lang w:val="en-US" w:eastAsia="zh-CN"/>
        </w:rPr>
        <w:t>0993-</w:t>
      </w:r>
      <w:r>
        <w:rPr>
          <w:rFonts w:hint="eastAsia" w:asciiTheme="minorEastAsia" w:hAnsiTheme="minorEastAsia" w:eastAsiaTheme="minorEastAsia"/>
          <w:sz w:val="28"/>
          <w:szCs w:val="28"/>
          <w:highlight w:val="none"/>
          <w:lang w:val="zh-TW"/>
        </w:rPr>
        <w:t>2058790</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此包预算</w:t>
      </w:r>
      <w:r>
        <w:rPr>
          <w:rFonts w:hint="eastAsia" w:asciiTheme="minorEastAsia" w:hAnsiTheme="minorEastAsia" w:eastAsiaTheme="minorEastAsia"/>
          <w:sz w:val="28"/>
          <w:szCs w:val="28"/>
          <w:highlight w:val="none"/>
          <w:lang w:val="en-US" w:eastAsia="zh-CN"/>
        </w:rPr>
        <w:t>总价为</w:t>
      </w:r>
      <w:r>
        <w:rPr>
          <w:rFonts w:hint="eastAsia" w:asciiTheme="minorEastAsia" w:hAnsiTheme="minorEastAsia" w:eastAsiaTheme="minorEastAsia"/>
          <w:sz w:val="28"/>
          <w:szCs w:val="28"/>
          <w:highlight w:val="none"/>
          <w:lang w:val="zh-TW"/>
        </w:rPr>
        <w:t>22000元（人民币</w:t>
      </w:r>
      <w:r>
        <w:rPr>
          <w:rFonts w:hint="eastAsia" w:asciiTheme="minorEastAsia" w:hAnsiTheme="minorEastAsia" w:eastAsiaTheme="minorEastAsia"/>
          <w:sz w:val="28"/>
          <w:szCs w:val="28"/>
          <w:highlight w:val="none"/>
          <w:lang w:val="en-US" w:eastAsia="zh-CN"/>
        </w:rPr>
        <w:t>贰万贰仟元</w:t>
      </w:r>
      <w:r>
        <w:rPr>
          <w:rFonts w:hint="eastAsia" w:asciiTheme="minorEastAsia" w:hAnsiTheme="minorEastAsia" w:eastAsiaTheme="minorEastAsia"/>
          <w:sz w:val="28"/>
          <w:szCs w:val="28"/>
          <w:highlight w:val="none"/>
          <w:lang w:val="zh-TW"/>
        </w:rPr>
        <w:t>整）。总报价如超预算，视同于无效报价。疫情期间校园封闭式管理，</w:t>
      </w:r>
      <w:r>
        <w:rPr>
          <w:rFonts w:hint="eastAsia" w:asciiTheme="minorEastAsia" w:hAnsiTheme="minorEastAsia" w:eastAsiaTheme="minorEastAsia"/>
          <w:sz w:val="28"/>
          <w:szCs w:val="28"/>
          <w:highlight w:val="none"/>
          <w:lang w:val="en-US" w:eastAsia="zh-CN"/>
        </w:rPr>
        <w:t>请各潜在供应商前来投标时服从校园门卫管理</w:t>
      </w:r>
      <w:r>
        <w:rPr>
          <w:rFonts w:hint="eastAsia" w:asciiTheme="minorEastAsia" w:hAnsiTheme="minorEastAsia" w:eastAsiaTheme="minorEastAsia"/>
          <w:sz w:val="28"/>
          <w:szCs w:val="28"/>
          <w:highlight w:val="none"/>
          <w:lang w:val="zh-TW"/>
        </w:rPr>
        <w:t>。</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统一采购管理办公室</w:t>
      </w:r>
    </w:p>
    <w:p>
      <w:pPr>
        <w:snapToGrid w:val="0"/>
        <w:spacing w:line="480" w:lineRule="exact"/>
        <w:ind w:firstLine="5040" w:firstLineChars="18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2020年</w:t>
      </w:r>
      <w:r>
        <w:rPr>
          <w:rFonts w:hint="eastAsia" w:asciiTheme="minorEastAsia" w:hAnsiTheme="minorEastAsia" w:eastAsiaTheme="minorEastAsia"/>
          <w:sz w:val="28"/>
          <w:szCs w:val="28"/>
          <w:highlight w:val="none"/>
          <w:lang w:val="en-US" w:eastAsia="zh-CN"/>
        </w:rPr>
        <w:t>11</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20</w:t>
      </w:r>
      <w:r>
        <w:rPr>
          <w:rFonts w:hint="eastAsia" w:asciiTheme="minorEastAsia" w:hAnsiTheme="minorEastAsia" w:eastAsiaTheme="minorEastAsia"/>
          <w:sz w:val="28"/>
          <w:szCs w:val="28"/>
          <w:highlight w:val="none"/>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7"/>
      <w:lvlText w:val="%1、"/>
      <w:lvlJc w:val="left"/>
      <w:pPr>
        <w:ind w:left="360" w:hanging="360"/>
      </w:pPr>
      <w:rPr>
        <w:rFonts w:hint="default"/>
      </w:rPr>
    </w:lvl>
    <w:lvl w:ilvl="1" w:tentative="0">
      <w:start w:val="1"/>
      <w:numFmt w:val="lowerLetter"/>
      <w:pStyle w:val="39"/>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8"/>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C13D64"/>
    <w:rsid w:val="14BB7BAC"/>
    <w:rsid w:val="181E4754"/>
    <w:rsid w:val="26452102"/>
    <w:rsid w:val="39DC30F2"/>
    <w:rsid w:val="3CDD6062"/>
    <w:rsid w:val="52E96A34"/>
    <w:rsid w:val="59AE0A3B"/>
    <w:rsid w:val="5C65662B"/>
    <w:rsid w:val="6CE25BCE"/>
    <w:rsid w:val="71475DE0"/>
    <w:rsid w:val="74A610FA"/>
    <w:rsid w:val="7B926551"/>
    <w:rsid w:val="7CC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0"/>
    <w:pPr>
      <w:keepNext/>
      <w:keepLines/>
      <w:spacing w:after="31" w:afterLines="10" w:afterAutospacing="0"/>
      <w:ind w:left="357" w:hanging="357"/>
      <w:outlineLvl w:val="1"/>
    </w:pPr>
    <w:rPr>
      <w:rFonts w:ascii="宋体"/>
      <w:b/>
    </w:rPr>
  </w:style>
  <w:style w:type="paragraph" w:styleId="4">
    <w:name w:val="heading 3"/>
    <w:basedOn w:val="1"/>
    <w:next w:val="1"/>
    <w:qFormat/>
    <w:uiPriority w:val="0"/>
    <w:pPr>
      <w:keepNext/>
      <w:keepLines/>
      <w:spacing w:before="62" w:beforeLines="20" w:beforeAutospacing="0" w:after="31" w:afterLines="10" w:afterAutospacing="0"/>
      <w:outlineLvl w:val="2"/>
    </w:pPr>
    <w:rPr>
      <w:rFonts w:ascii="宋体" w:hAnsi="宋体"/>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1"/>
    <w:link w:val="23"/>
    <w:qFormat/>
    <w:uiPriority w:val="0"/>
    <w:rPr>
      <w:rFonts w:ascii="宋体" w:hAnsi="宋体" w:cs="宋体" w:eastAsiaTheme="minorEastAsia"/>
      <w:szCs w:val="22"/>
    </w:rPr>
  </w:style>
  <w:style w:type="paragraph" w:styleId="7">
    <w:name w:val="Date"/>
    <w:basedOn w:val="1"/>
    <w:next w:val="1"/>
    <w:link w:val="21"/>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9"/>
    <w:unhideWhenUsed/>
    <w:qFormat/>
    <w:uiPriority w:val="0"/>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Body Text First Indent"/>
    <w:basedOn w:val="6"/>
    <w:link w:val="30"/>
    <w:semiHidden/>
    <w:unhideWhenUsed/>
    <w:qFormat/>
    <w:uiPriority w:val="99"/>
    <w:pPr>
      <w:spacing w:after="120"/>
      <w:ind w:firstLine="420" w:firstLineChars="100"/>
    </w:pPr>
    <w:rPr>
      <w:rFonts w:ascii="Times New Roman" w:hAnsi="Times New Roman" w:eastAsia="宋体" w:cs="Times New Roman"/>
      <w:szCs w:val="24"/>
    </w:rPr>
  </w:style>
  <w:style w:type="table" w:styleId="14">
    <w:name w:val="Table Grid"/>
    <w:basedOn w:val="13"/>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unhideWhenUsed/>
    <w:qFormat/>
    <w:uiPriority w:val="99"/>
    <w:rPr>
      <w:color w:val="0000FF"/>
      <w:u w:val="single"/>
    </w:rPr>
  </w:style>
  <w:style w:type="paragraph" w:styleId="17">
    <w:name w:val="List Paragraph"/>
    <w:basedOn w:val="1"/>
    <w:qFormat/>
    <w:uiPriority w:val="34"/>
    <w:pPr>
      <w:ind w:firstLine="420" w:firstLineChars="200"/>
    </w:pPr>
    <w:rPr>
      <w:rFonts w:ascii="Calibri" w:hAnsi="Calibri"/>
      <w:szCs w:val="22"/>
    </w:rPr>
  </w:style>
  <w:style w:type="character" w:customStyle="1" w:styleId="18">
    <w:name w:val="页眉 Char"/>
    <w:basedOn w:val="15"/>
    <w:link w:val="10"/>
    <w:qFormat/>
    <w:uiPriority w:val="99"/>
    <w:rPr>
      <w:rFonts w:ascii="Times New Roman" w:hAnsi="Times New Roman" w:eastAsia="宋体" w:cs="Times New Roman"/>
      <w:sz w:val="18"/>
      <w:szCs w:val="18"/>
    </w:rPr>
  </w:style>
  <w:style w:type="character" w:customStyle="1" w:styleId="19">
    <w:name w:val="页脚 Char"/>
    <w:basedOn w:val="15"/>
    <w:link w:val="9"/>
    <w:qFormat/>
    <w:uiPriority w:val="0"/>
    <w:rPr>
      <w:rFonts w:ascii="Times New Roman" w:hAnsi="Times New Roman" w:eastAsia="宋体" w:cs="Times New Roman"/>
      <w:sz w:val="18"/>
      <w:szCs w:val="18"/>
    </w:rPr>
  </w:style>
  <w:style w:type="character" w:customStyle="1" w:styleId="20">
    <w:name w:val="批注框文本 Char"/>
    <w:basedOn w:val="15"/>
    <w:link w:val="8"/>
    <w:semiHidden/>
    <w:qFormat/>
    <w:uiPriority w:val="99"/>
    <w:rPr>
      <w:rFonts w:ascii="Times New Roman" w:hAnsi="Times New Roman" w:eastAsia="宋体" w:cs="Times New Roman"/>
      <w:sz w:val="18"/>
      <w:szCs w:val="18"/>
    </w:rPr>
  </w:style>
  <w:style w:type="character" w:customStyle="1" w:styleId="21">
    <w:name w:val="日期 Char"/>
    <w:basedOn w:val="15"/>
    <w:link w:val="7"/>
    <w:semiHidden/>
    <w:qFormat/>
    <w:uiPriority w:val="99"/>
    <w:rPr>
      <w:rFonts w:ascii="Times New Roman" w:hAnsi="Times New Roman" w:eastAsia="宋体" w:cs="Times New Roman"/>
      <w:szCs w:val="24"/>
    </w:rPr>
  </w:style>
  <w:style w:type="paragraph" w:customStyle="1" w:styleId="22">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3">
    <w:name w:val="正文文本 Char"/>
    <w:basedOn w:val="15"/>
    <w:link w:val="6"/>
    <w:qFormat/>
    <w:uiPriority w:val="0"/>
    <w:rPr>
      <w:rFonts w:ascii="宋体" w:hAnsi="宋体" w:cs="宋体"/>
    </w:rPr>
  </w:style>
  <w:style w:type="paragraph" w:customStyle="1" w:styleId="24">
    <w:name w:val="标题4"/>
    <w:basedOn w:val="5"/>
    <w:qFormat/>
    <w:uiPriority w:val="0"/>
    <w:pPr>
      <w:spacing w:line="372" w:lineRule="auto"/>
    </w:pPr>
    <w:rPr>
      <w:rFonts w:eastAsia="黑体" w:cs="Times New Roman" w:asciiTheme="minorHAnsi" w:hAnsiTheme="minorHAnsi"/>
      <w:bCs w:val="0"/>
      <w:szCs w:val="22"/>
    </w:rPr>
  </w:style>
  <w:style w:type="character" w:customStyle="1" w:styleId="25">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6">
    <w:name w:val="font41"/>
    <w:basedOn w:val="15"/>
    <w:qFormat/>
    <w:uiPriority w:val="0"/>
    <w:rPr>
      <w:rFonts w:ascii="Calibri" w:hAnsi="Calibri" w:cs="Calibri"/>
      <w:color w:val="000000"/>
      <w:sz w:val="21"/>
      <w:szCs w:val="21"/>
      <w:u w:val="none"/>
    </w:rPr>
  </w:style>
  <w:style w:type="paragraph" w:customStyle="1" w:styleId="27">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8">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9">
    <w:name w:val="_Style 22"/>
    <w:basedOn w:val="1"/>
    <w:next w:val="17"/>
    <w:qFormat/>
    <w:uiPriority w:val="34"/>
    <w:pPr>
      <w:ind w:firstLine="420" w:firstLineChars="200"/>
    </w:pPr>
    <w:rPr>
      <w:rFonts w:ascii="Calibri" w:hAnsi="Calibri"/>
      <w:szCs w:val="22"/>
    </w:rPr>
  </w:style>
  <w:style w:type="character" w:customStyle="1" w:styleId="30">
    <w:name w:val="正文首行缩进 Char"/>
    <w:basedOn w:val="23"/>
    <w:link w:val="12"/>
    <w:semiHidden/>
    <w:qFormat/>
    <w:uiPriority w:val="99"/>
    <w:rPr>
      <w:rFonts w:ascii="Times New Roman" w:hAnsi="Times New Roman" w:eastAsia="宋体" w:cs="Times New Roman"/>
      <w:szCs w:val="24"/>
    </w:rPr>
  </w:style>
  <w:style w:type="character" w:customStyle="1" w:styleId="31">
    <w:name w:val="font12"/>
    <w:basedOn w:val="15"/>
    <w:qFormat/>
    <w:uiPriority w:val="0"/>
    <w:rPr>
      <w:rFonts w:hint="eastAsia" w:ascii="宋体" w:hAnsi="宋体" w:eastAsia="宋体" w:cs="宋体"/>
      <w:color w:val="000000"/>
      <w:sz w:val="20"/>
      <w:szCs w:val="20"/>
      <w:u w:val="none"/>
    </w:rPr>
  </w:style>
  <w:style w:type="character" w:customStyle="1" w:styleId="32">
    <w:name w:val="font81"/>
    <w:basedOn w:val="15"/>
    <w:qFormat/>
    <w:uiPriority w:val="0"/>
    <w:rPr>
      <w:rFonts w:hint="default" w:ascii="Calibri" w:hAnsi="Calibri" w:cs="Calibri"/>
      <w:color w:val="000000"/>
      <w:sz w:val="20"/>
      <w:szCs w:val="20"/>
      <w:u w:val="none"/>
    </w:rPr>
  </w:style>
  <w:style w:type="character" w:customStyle="1" w:styleId="33">
    <w:name w:val="font91"/>
    <w:basedOn w:val="15"/>
    <w:qFormat/>
    <w:uiPriority w:val="0"/>
    <w:rPr>
      <w:rFonts w:ascii="Calibri" w:hAnsi="Calibri" w:cs="Calibri"/>
      <w:b/>
      <w:color w:val="000000"/>
      <w:sz w:val="20"/>
      <w:szCs w:val="20"/>
      <w:u w:val="none"/>
    </w:rPr>
  </w:style>
  <w:style w:type="character" w:customStyle="1" w:styleId="34">
    <w:name w:val="font21"/>
    <w:basedOn w:val="15"/>
    <w:qFormat/>
    <w:uiPriority w:val="0"/>
    <w:rPr>
      <w:rFonts w:hint="default" w:ascii="Calibri" w:hAnsi="Calibri" w:cs="Calibri"/>
      <w:color w:val="000000"/>
      <w:sz w:val="20"/>
      <w:szCs w:val="20"/>
      <w:u w:val="none"/>
    </w:rPr>
  </w:style>
  <w:style w:type="character" w:customStyle="1" w:styleId="35">
    <w:name w:val="font111"/>
    <w:basedOn w:val="15"/>
    <w:qFormat/>
    <w:uiPriority w:val="0"/>
    <w:rPr>
      <w:rFonts w:hint="eastAsia" w:ascii="宋体" w:hAnsi="宋体" w:eastAsia="宋体" w:cs="宋体"/>
      <w:color w:val="000000"/>
      <w:sz w:val="20"/>
      <w:szCs w:val="20"/>
      <w:u w:val="none"/>
    </w:rPr>
  </w:style>
  <w:style w:type="character" w:customStyle="1" w:styleId="36">
    <w:name w:val="font31"/>
    <w:basedOn w:val="15"/>
    <w:qFormat/>
    <w:uiPriority w:val="0"/>
    <w:rPr>
      <w:rFonts w:hint="eastAsia" w:ascii="宋体" w:hAnsi="宋体" w:eastAsia="宋体" w:cs="宋体"/>
      <w:color w:val="000000"/>
      <w:sz w:val="20"/>
      <w:szCs w:val="20"/>
      <w:u w:val="none"/>
    </w:rPr>
  </w:style>
  <w:style w:type="paragraph" w:customStyle="1" w:styleId="37">
    <w:name w:val="_Style 32"/>
    <w:basedOn w:val="1"/>
    <w:next w:val="17"/>
    <w:qFormat/>
    <w:uiPriority w:val="34"/>
    <w:pPr>
      <w:ind w:firstLine="420" w:firstLineChars="200"/>
    </w:pPr>
    <w:rPr>
      <w:rFonts w:ascii="Calibri" w:hAnsi="Calibri"/>
      <w:szCs w:val="22"/>
    </w:rPr>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176</Words>
  <Characters>1009</Characters>
  <Lines>8</Lines>
  <Paragraphs>2</Paragraphs>
  <TotalTime>10</TotalTime>
  <ScaleCrop>false</ScaleCrop>
  <LinksUpToDate>false</LinksUpToDate>
  <CharactersWithSpaces>1183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2020-11-19T11:33:57Z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